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FBB0" w14:textId="77777777" w:rsidR="00CD241D" w:rsidRDefault="00000000">
      <w:pPr>
        <w:spacing w:after="0" w:line="259" w:lineRule="auto"/>
        <w:ind w:left="0" w:firstLine="0"/>
        <w:jc w:val="center"/>
      </w:pPr>
      <w:r>
        <w:t xml:space="preserve">METHODOLOGY  </w:t>
      </w:r>
    </w:p>
    <w:p w14:paraId="1277634F" w14:textId="77777777" w:rsidR="00CD241D" w:rsidRDefault="00000000">
      <w:pPr>
        <w:spacing w:after="0" w:line="259" w:lineRule="auto"/>
        <w:ind w:left="87" w:right="0" w:firstLine="0"/>
        <w:jc w:val="center"/>
      </w:pPr>
      <w:r>
        <w:rPr>
          <w:color w:val="000000"/>
        </w:rPr>
        <w:t xml:space="preserve"> </w:t>
      </w:r>
    </w:p>
    <w:p w14:paraId="1B70DB69" w14:textId="714561B8" w:rsidR="00AF2F85" w:rsidRDefault="00707785" w:rsidP="00AD3DA1">
      <w:pPr>
        <w:ind w:left="-5" w:right="0"/>
      </w:pPr>
      <w:r>
        <w:t>The 1792 Exchange has</w:t>
      </w:r>
      <w:r>
        <w:t xml:space="preserve"> assessed</w:t>
      </w:r>
      <w:r w:rsidR="006660C2">
        <w:t xml:space="preserve"> the influence of each state on </w:t>
      </w:r>
      <w:r w:rsidR="006660C2">
        <w:t xml:space="preserve">proxy voting through their </w:t>
      </w:r>
      <w:r w:rsidR="00AD3DA1">
        <w:t xml:space="preserve">public </w:t>
      </w:r>
      <w:r w:rsidR="006660C2">
        <w:t>pension funds</w:t>
      </w:r>
      <w:r w:rsidR="00AD3DA1">
        <w:rPr>
          <w:rFonts w:cs="Calibri"/>
        </w:rPr>
        <w:t>, wh</w:t>
      </w:r>
      <w:r w:rsidR="00AD5AE7">
        <w:rPr>
          <w:rFonts w:cs="Calibri"/>
        </w:rPr>
        <w:t>ose defined benefit plans</w:t>
      </w:r>
      <w:r w:rsidR="00AD3DA1">
        <w:rPr>
          <w:rFonts w:cs="Calibri"/>
        </w:rPr>
        <w:t xml:space="preserve"> collectively represent $6 trillion dollars</w:t>
      </w:r>
      <w:r>
        <w:t>. The influence of state pension funds in proxy voting is through directly owned stocks a</w:t>
      </w:r>
      <w:r w:rsidR="00A6426B">
        <w:t>nd indirectly owned equities (</w:t>
      </w:r>
      <w:r w:rsidR="00A6426B">
        <w:t>index, exchange-traded, and mutual funds</w:t>
      </w:r>
      <w:r w:rsidR="00A6426B">
        <w:t>).</w:t>
      </w:r>
    </w:p>
    <w:p w14:paraId="70A25B65" w14:textId="77777777" w:rsidR="00AF2F85" w:rsidRDefault="00AF2F85" w:rsidP="00AD3DA1">
      <w:pPr>
        <w:ind w:left="-5" w:right="0"/>
      </w:pPr>
    </w:p>
    <w:p w14:paraId="44F48AE3" w14:textId="163C7F64" w:rsidR="005824E8" w:rsidRDefault="005824E8" w:rsidP="00F660E5">
      <w:pPr>
        <w:ind w:left="-5" w:right="0"/>
        <w:rPr>
          <w:rFonts w:cs="Calibri"/>
        </w:rPr>
      </w:pPr>
      <w:r>
        <w:t>For its directly owned stocks, m</w:t>
      </w:r>
      <w:r w:rsidR="00AF2F85">
        <w:rPr>
          <w:rFonts w:cs="Calibri"/>
        </w:rPr>
        <w:t>any state</w:t>
      </w:r>
      <w:r>
        <w:rPr>
          <w:rFonts w:cs="Calibri"/>
        </w:rPr>
        <w:t xml:space="preserve"> pension funds </w:t>
      </w:r>
      <w:r w:rsidR="00AF2F85">
        <w:rPr>
          <w:rFonts w:cs="Calibri"/>
        </w:rPr>
        <w:t xml:space="preserve">disclose proxy voting </w:t>
      </w:r>
      <w:r w:rsidR="00AF2F85">
        <w:t xml:space="preserve">guidelines to a proxy advisory firm (Glass Lewis, ISS, Egan Jones, etc.) to utilize as </w:t>
      </w:r>
      <w:r w:rsidR="001747E4">
        <w:t>the firm</w:t>
      </w:r>
      <w:r w:rsidR="00AF2F85">
        <w:t xml:space="preserve"> </w:t>
      </w:r>
      <w:r w:rsidR="001747E4">
        <w:t xml:space="preserve">makes voting </w:t>
      </w:r>
      <w:r w:rsidR="00AF2F85">
        <w:t>recommend</w:t>
      </w:r>
      <w:r w:rsidR="001747E4">
        <w:t>ations</w:t>
      </w:r>
      <w:r w:rsidR="00AF2F85">
        <w:t xml:space="preserve">. </w:t>
      </w:r>
      <w:r>
        <w:t>However, some</w:t>
      </w:r>
      <w:r>
        <w:t xml:space="preserve"> state</w:t>
      </w:r>
      <w:r>
        <w:t>s</w:t>
      </w:r>
      <w:r>
        <w:t xml:space="preserve"> delegate proxy voting authority to their respective asset managers</w:t>
      </w:r>
      <w:r>
        <w:t xml:space="preserve">. </w:t>
      </w:r>
      <w:r>
        <w:t xml:space="preserve">Only 23 states </w:t>
      </w:r>
      <w:r w:rsidRPr="00264C1B">
        <w:t>have major public pension funds that disclose their proxy voting records for</w:t>
      </w:r>
      <w:r>
        <w:t xml:space="preserve"> directly owned stocks.</w:t>
      </w:r>
      <w:r>
        <w:t xml:space="preserve"> For state</w:t>
      </w:r>
      <w:r w:rsidR="00F660E5">
        <w:t>s</w:t>
      </w:r>
      <w:r>
        <w:t xml:space="preserve"> who do not disclose this information, </w:t>
      </w:r>
      <w:r w:rsidR="00F660E5">
        <w:t xml:space="preserve">a </w:t>
      </w:r>
      <w:r w:rsidR="00F660E5" w:rsidRPr="00F660E5">
        <w:t>Freedom of Information Act (FOIA</w:t>
      </w:r>
      <w:r w:rsidR="00F660E5">
        <w:t xml:space="preserve">) request was sent </w:t>
      </w:r>
      <w:r w:rsidR="001747E4">
        <w:t>to the state organization responsible for this data</w:t>
      </w:r>
      <w:r w:rsidR="00F660E5">
        <w:t>.</w:t>
      </w:r>
      <w:r w:rsidR="007D06CB">
        <w:t xml:space="preserve"> Notably,</w:t>
      </w:r>
      <w:r w:rsidR="00F660E5">
        <w:t xml:space="preserve"> 5 states claimed exemption to the FOIA request</w:t>
      </w:r>
      <w:r w:rsidR="001747E4">
        <w:t xml:space="preserve">, mostly on the grounds that releasing the information discloses sensitive financial information. </w:t>
      </w:r>
    </w:p>
    <w:p w14:paraId="7528E58C" w14:textId="77777777" w:rsidR="00F660E5" w:rsidRPr="00F660E5" w:rsidRDefault="00F660E5" w:rsidP="00F660E5">
      <w:pPr>
        <w:ind w:left="-5" w:right="0"/>
        <w:rPr>
          <w:rFonts w:cs="Calibri"/>
        </w:rPr>
      </w:pPr>
    </w:p>
    <w:p w14:paraId="0185AB6D" w14:textId="145CBE13" w:rsidR="00AF2F85" w:rsidRPr="005824E8" w:rsidRDefault="005824E8" w:rsidP="005824E8">
      <w:pPr>
        <w:ind w:left="-5" w:right="0"/>
      </w:pPr>
      <w:r>
        <w:t xml:space="preserve">For a state’s indirectly owned equities, its </w:t>
      </w:r>
      <w:r w:rsidR="00AF2F85">
        <w:t>a</w:t>
      </w:r>
      <w:r w:rsidR="00A6426B">
        <w:t xml:space="preserve">sset managers </w:t>
      </w:r>
      <w:r w:rsidR="00A6426B">
        <w:t xml:space="preserve">typically retain </w:t>
      </w:r>
      <w:r w:rsidR="00A6426B">
        <w:t>prox</w:t>
      </w:r>
      <w:r w:rsidR="00A6426B">
        <w:t>y voting rights</w:t>
      </w:r>
      <w:r w:rsidR="00AF2F85">
        <w:t xml:space="preserve">. </w:t>
      </w:r>
      <w:r w:rsidR="004F51E9">
        <w:rPr>
          <w:rFonts w:cs="Calibri"/>
        </w:rPr>
        <w:t xml:space="preserve">We used both </w:t>
      </w:r>
      <w:r w:rsidR="004F51E9">
        <w:t xml:space="preserve">publicly available records and FOIA requests to </w:t>
      </w:r>
      <w:r w:rsidR="004F51E9">
        <w:rPr>
          <w:rFonts w:cs="Calibri"/>
        </w:rPr>
        <w:t xml:space="preserve">identify </w:t>
      </w:r>
      <w:r w:rsidR="004F51E9">
        <w:t>the asset managers utilized by state pension funds.</w:t>
      </w:r>
    </w:p>
    <w:p w14:paraId="3A40F148" w14:textId="77777777" w:rsidR="00AF2F85" w:rsidRDefault="00AF2F85" w:rsidP="00AF2F85">
      <w:pPr>
        <w:ind w:left="-5" w:right="0"/>
      </w:pPr>
    </w:p>
    <w:p w14:paraId="305BE714" w14:textId="6D6095EC" w:rsidR="00AD3DA1" w:rsidRDefault="00A6426B" w:rsidP="00AF2F85">
      <w:pPr>
        <w:ind w:left="-5" w:right="0"/>
      </w:pPr>
      <w:r>
        <w:t xml:space="preserve">To give a comprehensive overview of how states are influencing proxy voting through their pension funds, </w:t>
      </w:r>
      <w:r>
        <w:rPr>
          <w:rFonts w:cs="Calibri"/>
        </w:rPr>
        <w:t>we have included</w:t>
      </w:r>
      <w:r w:rsidR="006660C2">
        <w:rPr>
          <w:rFonts w:cs="Calibri"/>
        </w:rPr>
        <w:t xml:space="preserve"> </w:t>
      </w:r>
      <w:r w:rsidR="00F5211B">
        <w:rPr>
          <w:rFonts w:cs="Calibri"/>
        </w:rPr>
        <w:t xml:space="preserve">both </w:t>
      </w:r>
      <w:r>
        <w:rPr>
          <w:rFonts w:cs="Calibri"/>
        </w:rPr>
        <w:t>the proxy voting record</w:t>
      </w:r>
      <w:r w:rsidR="006660C2">
        <w:rPr>
          <w:rFonts w:cs="Calibri"/>
        </w:rPr>
        <w:t>s</w:t>
      </w:r>
      <w:r>
        <w:rPr>
          <w:rFonts w:cs="Calibri"/>
        </w:rPr>
        <w:t xml:space="preserve"> of</w:t>
      </w:r>
      <w:r w:rsidR="006660C2">
        <w:rPr>
          <w:rFonts w:cs="Calibri"/>
        </w:rPr>
        <w:t xml:space="preserve"> state</w:t>
      </w:r>
      <w:r w:rsidR="00F5211B">
        <w:rPr>
          <w:rFonts w:cs="Calibri"/>
        </w:rPr>
        <w:t xml:space="preserve"> pension funds </w:t>
      </w:r>
      <w:r w:rsidR="006660C2">
        <w:rPr>
          <w:rFonts w:cs="Calibri"/>
        </w:rPr>
        <w:t>through their directly owned stocks and the</w:t>
      </w:r>
      <w:r w:rsidR="00F5211B">
        <w:rPr>
          <w:rFonts w:cs="Calibri"/>
        </w:rPr>
        <w:t xml:space="preserve"> proxy voting records of the</w:t>
      </w:r>
      <w:r w:rsidR="006660C2">
        <w:rPr>
          <w:rFonts w:cs="Calibri"/>
        </w:rPr>
        <w:t xml:space="preserve"> firms</w:t>
      </w:r>
      <w:r>
        <w:rPr>
          <w:rFonts w:cs="Calibri"/>
        </w:rPr>
        <w:t xml:space="preserve"> managing the</w:t>
      </w:r>
      <w:r w:rsidR="00F5211B">
        <w:rPr>
          <w:rFonts w:cs="Calibri"/>
        </w:rPr>
        <w:t>ir</w:t>
      </w:r>
      <w:r>
        <w:rPr>
          <w:rFonts w:cs="Calibri"/>
        </w:rPr>
        <w:t xml:space="preserve"> investment</w:t>
      </w:r>
      <w:r w:rsidR="00F5211B">
        <w:rPr>
          <w:rFonts w:cs="Calibri"/>
        </w:rPr>
        <w:t>s</w:t>
      </w:r>
      <w:r>
        <w:rPr>
          <w:rFonts w:cs="Calibri"/>
        </w:rPr>
        <w:t>.</w:t>
      </w:r>
      <w:r w:rsidR="00AD3DA1">
        <w:rPr>
          <w:rFonts w:cs="Calibri"/>
        </w:rPr>
        <w:t xml:space="preserve"> </w:t>
      </w:r>
      <w:r w:rsidR="00677C35">
        <w:rPr>
          <w:rFonts w:cs="Calibri"/>
        </w:rPr>
        <w:t>The data in our State Pension Fund and Asset Manager</w:t>
      </w:r>
      <w:r w:rsidR="002517F7">
        <w:rPr>
          <w:rFonts w:cs="Calibri"/>
        </w:rPr>
        <w:t>s</w:t>
      </w:r>
      <w:r w:rsidR="00677C35">
        <w:rPr>
          <w:rFonts w:cs="Calibri"/>
        </w:rPr>
        <w:t xml:space="preserve"> table contain</w:t>
      </w:r>
      <w:r w:rsidR="00AD3DA1">
        <w:rPr>
          <w:rFonts w:cs="Calibri"/>
        </w:rPr>
        <w:t xml:space="preserve"> 17 ESG</w:t>
      </w:r>
      <w:r w:rsidR="00AD3DA1">
        <w:t>-related categories for 300+ controversial shareholder proposals in 2023.</w:t>
      </w:r>
    </w:p>
    <w:p w14:paraId="74202547" w14:textId="77777777" w:rsidR="00AF2F85" w:rsidRDefault="00AF2F85" w:rsidP="00D508CD">
      <w:pPr>
        <w:ind w:left="0" w:right="0" w:firstLine="0"/>
        <w:rPr>
          <w:rFonts w:cs="Calibri"/>
        </w:rPr>
      </w:pPr>
    </w:p>
    <w:p w14:paraId="43984E97" w14:textId="4D03EBBE" w:rsidR="004F51E9" w:rsidRPr="002517F7" w:rsidRDefault="007D06CB" w:rsidP="002517F7">
      <w:pPr>
        <w:ind w:left="-5" w:right="0"/>
      </w:pPr>
      <w:r>
        <w:rPr>
          <w:rFonts w:cs="Calibri"/>
        </w:rPr>
        <w:t>On the State Pension Fund data table, t</w:t>
      </w:r>
      <w:r w:rsidR="00A6426B">
        <w:rPr>
          <w:rFonts w:cs="Calibri"/>
        </w:rPr>
        <w:t>h</w:t>
      </w:r>
      <w:r w:rsidR="00D508CD">
        <w:rPr>
          <w:rFonts w:cs="Calibri"/>
        </w:rPr>
        <w:t>e</w:t>
      </w:r>
      <w:r w:rsidR="00A6426B">
        <w:rPr>
          <w:rFonts w:cs="Calibri"/>
        </w:rPr>
        <w:t xml:space="preserve"> “Pro-ESG” and “Anti-ESG” rating </w:t>
      </w:r>
      <w:r w:rsidR="004F51E9">
        <w:rPr>
          <w:rFonts w:cs="Calibri"/>
        </w:rPr>
        <w:t>represent a state’s score through the proxy voting</w:t>
      </w:r>
      <w:r w:rsidR="00F660E5">
        <w:rPr>
          <w:rFonts w:cs="Calibri"/>
        </w:rPr>
        <w:t xml:space="preserve"> record</w:t>
      </w:r>
      <w:r w:rsidR="004F51E9">
        <w:rPr>
          <w:rFonts w:cs="Calibri"/>
        </w:rPr>
        <w:t xml:space="preserve"> of its pension funds’ asset managers</w:t>
      </w:r>
      <w:r>
        <w:rPr>
          <w:rFonts w:cs="Calibri"/>
        </w:rPr>
        <w:t xml:space="preserve"> and t</w:t>
      </w:r>
      <w:r w:rsidR="004F51E9">
        <w:rPr>
          <w:rFonts w:cs="Calibri"/>
        </w:rPr>
        <w:t xml:space="preserve">he “State Voting Avg.” represents a state’s score through </w:t>
      </w:r>
      <w:r w:rsidR="00F660E5">
        <w:rPr>
          <w:rFonts w:cs="Calibri"/>
        </w:rPr>
        <w:t>the proxy voting record of its</w:t>
      </w:r>
      <w:r w:rsidR="004F51E9">
        <w:rPr>
          <w:rFonts w:cs="Calibri"/>
        </w:rPr>
        <w:t xml:space="preserve"> directly owned stocks</w:t>
      </w:r>
      <w:r w:rsidR="00F660E5">
        <w:rPr>
          <w:rFonts w:cs="Calibri"/>
        </w:rPr>
        <w:t>.</w:t>
      </w:r>
      <w:r w:rsidR="002517F7">
        <w:rPr>
          <w:rFonts w:cs="Calibri"/>
        </w:rPr>
        <w:t xml:space="preserve"> On the individual state pages,</w:t>
      </w:r>
      <w:r w:rsidR="002517F7">
        <w:t xml:space="preserve"> t</w:t>
      </w:r>
      <w:r w:rsidR="002517F7">
        <w:t xml:space="preserve">he average support in each of the 17 categories shown is derived </w:t>
      </w:r>
      <w:r w:rsidR="002517F7">
        <w:rPr>
          <w:rFonts w:cs="Calibri"/>
        </w:rPr>
        <w:t>from the state’s asset managers’ voting record in that category</w:t>
      </w:r>
      <w:r w:rsidR="002517F7">
        <w:rPr>
          <w:rFonts w:cs="Calibri"/>
        </w:rPr>
        <w:t xml:space="preserve">. This data is </w:t>
      </w:r>
      <w:r w:rsidR="002517F7">
        <w:rPr>
          <w:rFonts w:cs="Calibri"/>
        </w:rPr>
        <w:t xml:space="preserve">weighted according to the number of </w:t>
      </w:r>
      <w:r w:rsidR="002517F7">
        <w:t>votes cast by each asset manager</w:t>
      </w:r>
      <w:r w:rsidR="002517F7">
        <w:t xml:space="preserve">, accounting </w:t>
      </w:r>
      <w:r w:rsidR="002517F7">
        <w:t xml:space="preserve">for </w:t>
      </w:r>
      <w:r w:rsidR="002517F7">
        <w:t xml:space="preserve">the fact that </w:t>
      </w:r>
      <w:r w:rsidR="002517F7">
        <w:t>some asset managers vo</w:t>
      </w:r>
      <w:r w:rsidR="002517F7">
        <w:t>te</w:t>
      </w:r>
      <w:r w:rsidR="002517F7">
        <w:t xml:space="preserve"> on all resolutions while others vote on a smaller number of resolutions.</w:t>
      </w:r>
    </w:p>
    <w:p w14:paraId="7F7B8039" w14:textId="3F8C89A4" w:rsidR="00CD241D" w:rsidRDefault="00CD241D">
      <w:pPr>
        <w:spacing w:after="0" w:line="259" w:lineRule="auto"/>
        <w:ind w:left="0" w:right="0" w:firstLine="0"/>
      </w:pPr>
    </w:p>
    <w:p w14:paraId="3FF30511" w14:textId="4EEFC6EB" w:rsidR="00CD241D" w:rsidRDefault="002517F7">
      <w:pPr>
        <w:ind w:left="-5" w:right="0"/>
      </w:pPr>
      <w:r>
        <w:t>On both the State Pension Fund data table and the Asset Managers data table, t</w:t>
      </w:r>
      <w:r w:rsidR="00000000">
        <w:t>he average support for the Pro-ESG votes is calculated by data from the first 1</w:t>
      </w:r>
      <w:r w:rsidR="006225A4">
        <w:t>3</w:t>
      </w:r>
      <w:r w:rsidR="00000000">
        <w:t xml:space="preserve"> </w:t>
      </w:r>
      <w:hyperlink r:id="rId5" w:history="1">
        <w:r w:rsidR="007D4821" w:rsidRPr="007D4821">
          <w:rPr>
            <w:rStyle w:val="Hyperlink"/>
          </w:rPr>
          <w:t xml:space="preserve">proxy voting </w:t>
        </w:r>
        <w:r w:rsidR="00000000" w:rsidRPr="007D4821">
          <w:rPr>
            <w:rStyle w:val="Hyperlink"/>
          </w:rPr>
          <w:t>categories</w:t>
        </w:r>
      </w:hyperlink>
      <w:r w:rsidR="007D4821">
        <w:t xml:space="preserve"> </w:t>
      </w:r>
      <w:r w:rsidR="00000000">
        <w:t>and the</w:t>
      </w:r>
      <w:r w:rsidR="007D4821">
        <w:t xml:space="preserve"> average support for the Anti-ESG votes is calculated by data from the</w:t>
      </w:r>
      <w:r w:rsidR="00000000">
        <w:t xml:space="preserve"> last </w:t>
      </w:r>
      <w:r w:rsidR="006225A4">
        <w:t>four</w:t>
      </w:r>
      <w:r w:rsidR="00000000">
        <w:t xml:space="preserve"> categories</w:t>
      </w:r>
      <w:r w:rsidR="007D4821">
        <w:t xml:space="preserve">. </w:t>
      </w:r>
      <w:r w:rsidR="00000000">
        <w:t>Both</w:t>
      </w:r>
      <w:r w:rsidR="003E5942">
        <w:t xml:space="preserve"> </w:t>
      </w:r>
      <w:r w:rsidR="00000000">
        <w:t>of these averages are weighted by the total number of votes cast in each category. Some categories feature only a few votes</w:t>
      </w:r>
      <w:r w:rsidR="00F660E5">
        <w:t xml:space="preserve"> </w:t>
      </w:r>
      <w:r w:rsidR="00000000">
        <w:t>while others, such as Climate Change, feature many votes.</w:t>
      </w:r>
    </w:p>
    <w:p w14:paraId="6916287A" w14:textId="77777777" w:rsidR="00CD241D" w:rsidRDefault="00000000">
      <w:pPr>
        <w:spacing w:after="0" w:line="259" w:lineRule="auto"/>
        <w:ind w:left="0" w:right="0" w:firstLine="0"/>
      </w:pPr>
      <w:r>
        <w:rPr>
          <w:color w:val="000000"/>
        </w:rPr>
        <w:t xml:space="preserve"> </w:t>
      </w:r>
    </w:p>
    <w:p w14:paraId="121BBF38" w14:textId="320850D5" w:rsidR="00CD241D" w:rsidRDefault="00000000">
      <w:pPr>
        <w:spacing w:after="6" w:line="250" w:lineRule="auto"/>
        <w:ind w:right="0"/>
      </w:pPr>
      <w:r>
        <w:rPr>
          <w:color w:val="000000"/>
        </w:rPr>
        <w:t>Caveats and Limitations of this study:</w:t>
      </w:r>
    </w:p>
    <w:p w14:paraId="4D83743A" w14:textId="08E76775" w:rsidR="00CD241D" w:rsidRDefault="00000000">
      <w:pPr>
        <w:numPr>
          <w:ilvl w:val="0"/>
          <w:numId w:val="1"/>
        </w:numPr>
        <w:ind w:right="0"/>
      </w:pPr>
      <w:r>
        <w:t>The data compiled to calculate state voting averages are not fund-specific because states do not usually disclose which specific funds</w:t>
      </w:r>
      <w:r w:rsidR="007D4821">
        <w:t xml:space="preserve"> of an asset manager</w:t>
      </w:r>
      <w:r>
        <w:t xml:space="preserve"> they own. Instead, these averages use the </w:t>
      </w:r>
      <w:r>
        <w:rPr>
          <w:rFonts w:cs="Calibri"/>
        </w:rPr>
        <w:t xml:space="preserve">asset managers’ total voting record across all funds to determine the state’s average </w:t>
      </w:r>
      <w:r>
        <w:t>support of resolutions. This allows for consistent interpretation of the data and state-to</w:t>
      </w:r>
      <w:r w:rsidR="003E5942">
        <w:t>-</w:t>
      </w:r>
      <w:r>
        <w:t>state comparison.</w:t>
      </w:r>
    </w:p>
    <w:p w14:paraId="470EA757" w14:textId="77777777" w:rsidR="00CD241D" w:rsidRDefault="00000000">
      <w:pPr>
        <w:numPr>
          <w:ilvl w:val="0"/>
          <w:numId w:val="1"/>
        </w:numPr>
        <w:spacing w:after="6" w:line="250" w:lineRule="auto"/>
        <w:ind w:right="0"/>
      </w:pPr>
      <w:r>
        <w:rPr>
          <w:color w:val="000000"/>
        </w:rPr>
        <w:lastRenderedPageBreak/>
        <w:t xml:space="preserve">State asset manager disclosures are not always clear in identifying whether the firm in question is managing credit, private equity, or bonds. Bonds do not confer voting authority, unlike publicly traded equity, which generally does confer eligibility to vote. Similarly, some states do not clearly disclose what proportion of public equity assets are managed by which firms. Accordingly, best efforts were made to identify managers who managed a material proportion of underlying assets.   </w:t>
      </w:r>
    </w:p>
    <w:p w14:paraId="18369F62" w14:textId="31E62641" w:rsidR="00CD241D" w:rsidRPr="007A559E" w:rsidRDefault="00000000" w:rsidP="007A559E">
      <w:pPr>
        <w:numPr>
          <w:ilvl w:val="0"/>
          <w:numId w:val="1"/>
        </w:numPr>
        <w:spacing w:after="6" w:line="250" w:lineRule="auto"/>
        <w:ind w:right="0"/>
        <w:rPr>
          <w:color w:val="000000"/>
          <w:lang w:val="en-US"/>
        </w:rPr>
      </w:pPr>
      <w:r>
        <w:rPr>
          <w:color w:val="000000"/>
        </w:rPr>
        <w:t>There are slight variations in the</w:t>
      </w:r>
      <w:r w:rsidR="007A559E">
        <w:rPr>
          <w:color w:val="000000"/>
        </w:rPr>
        <w:t xml:space="preserve"> </w:t>
      </w:r>
      <w:r>
        <w:rPr>
          <w:color w:val="000000"/>
        </w:rPr>
        <w:t>data because states do not uniformly disclose their asset managers</w:t>
      </w:r>
      <w:r w:rsidR="007A559E">
        <w:rPr>
          <w:color w:val="000000"/>
        </w:rPr>
        <w:t>/</w:t>
      </w:r>
      <w:r>
        <w:rPr>
          <w:color w:val="000000"/>
        </w:rPr>
        <w:t xml:space="preserve">funds </w:t>
      </w:r>
      <w:r w:rsidR="007A559E">
        <w:rPr>
          <w:color w:val="000000"/>
        </w:rPr>
        <w:t>and do not refer to asset managers in a standardized way</w:t>
      </w:r>
      <w:r>
        <w:rPr>
          <w:color w:val="000000"/>
        </w:rPr>
        <w:t>.</w:t>
      </w:r>
      <w:r w:rsidR="007A559E">
        <w:rPr>
          <w:color w:val="000000"/>
        </w:rPr>
        <w:t xml:space="preserve"> Furthermore, </w:t>
      </w:r>
      <w:r w:rsidR="007A559E" w:rsidRPr="007A559E">
        <w:rPr>
          <w:color w:val="000000"/>
          <w:lang w:val="en-US"/>
        </w:rPr>
        <w:t xml:space="preserve">some </w:t>
      </w:r>
      <w:r w:rsidR="007A559E">
        <w:rPr>
          <w:color w:val="000000"/>
          <w:lang w:val="en-US"/>
        </w:rPr>
        <w:t>asset managers</w:t>
      </w:r>
      <w:r w:rsidR="007A559E" w:rsidRPr="007A559E">
        <w:rPr>
          <w:color w:val="000000"/>
          <w:lang w:val="en-US"/>
        </w:rPr>
        <w:t xml:space="preserve"> file their NPX under a different name</w:t>
      </w:r>
      <w:r w:rsidR="007A559E">
        <w:rPr>
          <w:color w:val="000000"/>
          <w:lang w:val="en-US"/>
        </w:rPr>
        <w:t xml:space="preserve">. </w:t>
      </w:r>
      <w:r w:rsidR="007A559E">
        <w:rPr>
          <w:color w:val="000000"/>
        </w:rPr>
        <w:t>A best effort was made to identify the proper asset managers</w:t>
      </w:r>
      <w:r w:rsidR="007A559E">
        <w:rPr>
          <w:color w:val="000000"/>
        </w:rPr>
        <w:t xml:space="preserve"> and asset manager </w:t>
      </w:r>
      <w:r w:rsidR="007A559E" w:rsidRPr="007A559E">
        <w:rPr>
          <w:color w:val="000000"/>
          <w:lang w:val="en-US"/>
        </w:rPr>
        <w:t xml:space="preserve">data </w:t>
      </w:r>
      <w:r w:rsidR="007A559E">
        <w:rPr>
          <w:color w:val="000000"/>
          <w:lang w:val="en-US"/>
        </w:rPr>
        <w:t xml:space="preserve">was only </w:t>
      </w:r>
      <w:r w:rsidR="007A559E" w:rsidRPr="007A559E">
        <w:rPr>
          <w:color w:val="000000"/>
          <w:lang w:val="en-US"/>
        </w:rPr>
        <w:t>used in the calculations i</w:t>
      </w:r>
      <w:r w:rsidR="007A559E">
        <w:rPr>
          <w:color w:val="000000"/>
          <w:lang w:val="en-US"/>
        </w:rPr>
        <w:t>f we could confidently identify</w:t>
      </w:r>
      <w:r w:rsidR="007A559E" w:rsidRPr="007A559E">
        <w:rPr>
          <w:color w:val="000000"/>
          <w:lang w:val="en-US"/>
        </w:rPr>
        <w:t xml:space="preserve"> </w:t>
      </w:r>
      <w:r w:rsidR="007A559E">
        <w:rPr>
          <w:color w:val="000000"/>
          <w:lang w:val="en-US"/>
        </w:rPr>
        <w:t>the asset manager.</w:t>
      </w:r>
    </w:p>
    <w:p w14:paraId="028D1FDD" w14:textId="69891890" w:rsidR="00CD241D" w:rsidRPr="00A841F3" w:rsidRDefault="00000000">
      <w:pPr>
        <w:numPr>
          <w:ilvl w:val="0"/>
          <w:numId w:val="1"/>
        </w:numPr>
        <w:spacing w:after="6" w:line="250" w:lineRule="auto"/>
        <w:ind w:right="0"/>
      </w:pPr>
      <w:r>
        <w:rPr>
          <w:color w:val="000000"/>
        </w:rPr>
        <w:t xml:space="preserve">While state pension boards of directors are typically the fiduciaries charged with overseeing the pension funds, they are not the only actors involved in making decisions about which managers to hire or proxy advisory firms to use. For this reason, this </w:t>
      </w:r>
      <w:r w:rsidR="007D4821">
        <w:rPr>
          <w:color w:val="000000"/>
        </w:rPr>
        <w:t>individual state pages</w:t>
      </w:r>
      <w:r>
        <w:rPr>
          <w:color w:val="000000"/>
        </w:rPr>
        <w:t xml:space="preserve"> include information about which entity is most responsible for </w:t>
      </w:r>
      <w:r w:rsidR="007D4821">
        <w:rPr>
          <w:color w:val="000000"/>
        </w:rPr>
        <w:t xml:space="preserve">managing the assets of the state pension funds. </w:t>
      </w:r>
      <w:r>
        <w:rPr>
          <w:color w:val="000000"/>
        </w:rPr>
        <w:t xml:space="preserve">This </w:t>
      </w:r>
      <w:r w:rsidR="007D4821">
        <w:rPr>
          <w:color w:val="000000"/>
        </w:rPr>
        <w:t xml:space="preserve">information is provided </w:t>
      </w:r>
      <w:r>
        <w:rPr>
          <w:color w:val="000000"/>
        </w:rPr>
        <w:t xml:space="preserve">to help concerned </w:t>
      </w:r>
      <w:r w:rsidR="007D4821">
        <w:rPr>
          <w:color w:val="000000"/>
        </w:rPr>
        <w:t>pensioners</w:t>
      </w:r>
      <w:r>
        <w:rPr>
          <w:color w:val="000000"/>
        </w:rPr>
        <w:t xml:space="preserve"> know who to direct their feedback</w:t>
      </w:r>
      <w:r w:rsidR="007D06CB">
        <w:rPr>
          <w:color w:val="000000"/>
        </w:rPr>
        <w:t xml:space="preserve"> to.</w:t>
      </w:r>
    </w:p>
    <w:p w14:paraId="15FC6CB5" w14:textId="67E66F9B" w:rsidR="00C96DC6" w:rsidRDefault="00A841F3" w:rsidP="00C96DC6">
      <w:pPr>
        <w:numPr>
          <w:ilvl w:val="0"/>
          <w:numId w:val="1"/>
        </w:numPr>
        <w:spacing w:after="6" w:line="250" w:lineRule="auto"/>
        <w:ind w:right="0"/>
      </w:pPr>
      <w:r w:rsidRPr="00A841F3">
        <w:t>The State Pension Fund database considers the largest public pension fund</w:t>
      </w:r>
      <w:r w:rsidR="007D06CB">
        <w:t>(s)</w:t>
      </w:r>
      <w:r w:rsidRPr="00A841F3">
        <w:t xml:space="preserve"> in each state. </w:t>
      </w:r>
      <w:r w:rsidR="00C96DC6">
        <w:t xml:space="preserve">To see which state pension </w:t>
      </w:r>
      <w:r w:rsidR="00C96DC6" w:rsidRPr="00C96DC6">
        <w:t>funds</w:t>
      </w:r>
      <w:r w:rsidR="007D06CB">
        <w:t xml:space="preserve"> are represented by the </w:t>
      </w:r>
      <w:r w:rsidR="00C96DC6">
        <w:t>data, visit th</w:t>
      </w:r>
      <w:r w:rsidR="007D06CB">
        <w:t>at</w:t>
      </w:r>
      <w:r w:rsidR="00C96DC6" w:rsidRPr="00C96DC6">
        <w:t xml:space="preserve"> state’s</w:t>
      </w:r>
      <w:r w:rsidR="007D06CB">
        <w:t xml:space="preserve"> individual</w:t>
      </w:r>
      <w:r w:rsidR="00C96DC6" w:rsidRPr="00C96DC6">
        <w:t xml:space="preserve"> page</w:t>
      </w:r>
      <w:r w:rsidR="00C96DC6">
        <w:t xml:space="preserve">. </w:t>
      </w:r>
      <w:r w:rsidRPr="00A841F3">
        <w:t>Though many states have addi</w:t>
      </w:r>
      <w:r>
        <w:t>ti</w:t>
      </w:r>
      <w:r w:rsidRPr="00A841F3">
        <w:t>onal</w:t>
      </w:r>
      <w:r w:rsidR="007D06CB">
        <w:t>, smaller</w:t>
      </w:r>
      <w:r w:rsidRPr="00A841F3">
        <w:t xml:space="preserve"> public pension funds, it is difficult to obtain informa</w:t>
      </w:r>
      <w:r>
        <w:t>ti</w:t>
      </w:r>
      <w:r w:rsidRPr="00A841F3">
        <w:t>on about the</w:t>
      </w:r>
      <w:r>
        <w:t xml:space="preserve">se funds or their </w:t>
      </w:r>
      <w:r w:rsidRPr="00A841F3">
        <w:t>asset managers</w:t>
      </w:r>
      <w:r>
        <w:t xml:space="preserve">. </w:t>
      </w:r>
      <w:r w:rsidRPr="00A841F3">
        <w:t>Addi</w:t>
      </w:r>
      <w:r>
        <w:t>ti</w:t>
      </w:r>
      <w:r w:rsidRPr="00A841F3">
        <w:t>onal funds may be added in the future.</w:t>
      </w:r>
    </w:p>
    <w:p w14:paraId="614D4F63" w14:textId="2699BEA7" w:rsidR="00AF2F85" w:rsidRPr="00D402EA" w:rsidRDefault="00030FEA" w:rsidP="00AF2F85">
      <w:pPr>
        <w:pStyle w:val="ListParagraph"/>
        <w:numPr>
          <w:ilvl w:val="0"/>
          <w:numId w:val="1"/>
        </w:numPr>
        <w:ind w:right="0"/>
      </w:pPr>
      <w:r>
        <w:rPr>
          <w:rFonts w:cs="Calibri"/>
        </w:rPr>
        <w:t>The vast majority of s</w:t>
      </w:r>
      <w:r w:rsidR="00E70BFC">
        <w:rPr>
          <w:rFonts w:cs="Calibri"/>
        </w:rPr>
        <w:t xml:space="preserve">hareholder proposals </w:t>
      </w:r>
      <w:r>
        <w:rPr>
          <w:rFonts w:cs="Calibri"/>
        </w:rPr>
        <w:t>occur at Fortune 250 companies</w:t>
      </w:r>
      <w:r w:rsidR="00D402EA">
        <w:rPr>
          <w:rFonts w:cs="Calibri"/>
        </w:rPr>
        <w:t xml:space="preserve">. </w:t>
      </w:r>
      <w:r w:rsidR="00E70BFC">
        <w:rPr>
          <w:rFonts w:cs="Calibri"/>
        </w:rPr>
        <w:t>State</w:t>
      </w:r>
      <w:r w:rsidR="00D402EA">
        <w:rPr>
          <w:rFonts w:cs="Calibri"/>
        </w:rPr>
        <w:t xml:space="preserve"> pension funds</w:t>
      </w:r>
      <w:r w:rsidR="00E70BFC">
        <w:rPr>
          <w:rFonts w:cs="Calibri"/>
        </w:rPr>
        <w:t xml:space="preserve"> whose investments </w:t>
      </w:r>
      <w:r w:rsidR="00D402EA">
        <w:rPr>
          <w:rFonts w:cs="Calibri"/>
        </w:rPr>
        <w:t xml:space="preserve">focus on </w:t>
      </w:r>
      <w:r w:rsidR="00E70BFC">
        <w:rPr>
          <w:rFonts w:cs="Calibri"/>
        </w:rPr>
        <w:t>small-cap and mid-cap companies</w:t>
      </w:r>
      <w:r w:rsidR="00D402EA">
        <w:rPr>
          <w:rFonts w:cs="Calibri"/>
        </w:rPr>
        <w:t>, such as North Carolina and Missouri,</w:t>
      </w:r>
      <w:r w:rsidR="00E70BFC">
        <w:rPr>
          <w:rFonts w:cs="Calibri"/>
        </w:rPr>
        <w:t xml:space="preserve"> </w:t>
      </w:r>
      <w:r w:rsidR="00D402EA">
        <w:rPr>
          <w:rFonts w:cs="Calibri"/>
        </w:rPr>
        <w:t xml:space="preserve">will therefore </w:t>
      </w:r>
      <w:r w:rsidR="00E70BFC">
        <w:rPr>
          <w:rFonts w:cs="Calibri"/>
        </w:rPr>
        <w:t>vote on less shareholder proposals</w:t>
      </w:r>
      <w:r w:rsidR="00D402EA">
        <w:rPr>
          <w:rFonts w:cs="Calibri"/>
        </w:rPr>
        <w:t>.</w:t>
      </w:r>
    </w:p>
    <w:p w14:paraId="4360BCA8" w14:textId="700B03EF" w:rsidR="00D402EA" w:rsidRPr="00D402EA" w:rsidRDefault="00D402EA" w:rsidP="00D402EA">
      <w:pPr>
        <w:numPr>
          <w:ilvl w:val="0"/>
          <w:numId w:val="1"/>
        </w:numPr>
        <w:spacing w:after="6" w:line="250" w:lineRule="auto"/>
        <w:ind w:right="0"/>
        <w:rPr>
          <w:lang w:val="en-US"/>
        </w:rPr>
      </w:pPr>
      <w:r>
        <w:rPr>
          <w:lang w:val="en-US"/>
        </w:rPr>
        <w:t xml:space="preserve">The Proxy </w:t>
      </w:r>
      <w:r w:rsidRPr="00F31547">
        <w:rPr>
          <w:lang w:val="en-US"/>
        </w:rPr>
        <w:t>database is subject to change according to corrections by</w:t>
      </w:r>
      <w:r>
        <w:rPr>
          <w:lang w:val="en-US"/>
        </w:rPr>
        <w:t xml:space="preserve"> states</w:t>
      </w:r>
      <w:r w:rsidRPr="00F31547">
        <w:rPr>
          <w:lang w:val="en-US"/>
        </w:rPr>
        <w:t xml:space="preserve"> or new</w:t>
      </w:r>
      <w:r>
        <w:rPr>
          <w:lang w:val="en-US"/>
        </w:rPr>
        <w:t>ly obtained</w:t>
      </w:r>
      <w:r w:rsidRPr="00F31547">
        <w:rPr>
          <w:lang w:val="en-US"/>
        </w:rPr>
        <w:t xml:space="preserve"> data</w:t>
      </w:r>
      <w:r>
        <w:rPr>
          <w:lang w:val="en-US"/>
        </w:rPr>
        <w:t>.</w:t>
      </w:r>
    </w:p>
    <w:p w14:paraId="21AF689F" w14:textId="77777777" w:rsidR="00AF2F85" w:rsidRDefault="00AF2F85" w:rsidP="00D402EA">
      <w:pPr>
        <w:ind w:left="0" w:right="0" w:firstLine="0"/>
      </w:pPr>
    </w:p>
    <w:sectPr w:rsidR="00AF2F85">
      <w:pgSz w:w="12240" w:h="15840"/>
      <w:pgMar w:top="1486" w:right="1473" w:bottom="177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CF522E"/>
    <w:multiLevelType w:val="hybridMultilevel"/>
    <w:tmpl w:val="DE6A3C9A"/>
    <w:lvl w:ilvl="0" w:tplc="63B8E57C">
      <w:start w:val="1"/>
      <w:numFmt w:val="bullet"/>
      <w:lvlText w:val="•"/>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2090C0">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1ADC58">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C25E6">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AB672">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627A14">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E4B5C0">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C932E">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8E5AE6">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50119715">
    <w:abstractNumId w:val="1"/>
  </w:num>
  <w:num w:numId="2" w16cid:durableId="117560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1D"/>
    <w:rsid w:val="00030FEA"/>
    <w:rsid w:val="001747E4"/>
    <w:rsid w:val="0024599C"/>
    <w:rsid w:val="002517F7"/>
    <w:rsid w:val="00264C1B"/>
    <w:rsid w:val="00362FD5"/>
    <w:rsid w:val="003A4C77"/>
    <w:rsid w:val="003E5942"/>
    <w:rsid w:val="004425D9"/>
    <w:rsid w:val="004F51E9"/>
    <w:rsid w:val="00553E3B"/>
    <w:rsid w:val="00571902"/>
    <w:rsid w:val="005824E8"/>
    <w:rsid w:val="006225A4"/>
    <w:rsid w:val="006660C2"/>
    <w:rsid w:val="00677C35"/>
    <w:rsid w:val="00707785"/>
    <w:rsid w:val="00777A3C"/>
    <w:rsid w:val="007A559E"/>
    <w:rsid w:val="007D06CB"/>
    <w:rsid w:val="007D4821"/>
    <w:rsid w:val="00806000"/>
    <w:rsid w:val="008750C8"/>
    <w:rsid w:val="009A2B42"/>
    <w:rsid w:val="009E52FC"/>
    <w:rsid w:val="00A061FD"/>
    <w:rsid w:val="00A6426B"/>
    <w:rsid w:val="00A841F3"/>
    <w:rsid w:val="00AD3DA1"/>
    <w:rsid w:val="00AD5AE7"/>
    <w:rsid w:val="00AF2F85"/>
    <w:rsid w:val="00C741BB"/>
    <w:rsid w:val="00C96DC6"/>
    <w:rsid w:val="00CD241D"/>
    <w:rsid w:val="00D402EA"/>
    <w:rsid w:val="00D508CD"/>
    <w:rsid w:val="00E70BFC"/>
    <w:rsid w:val="00F31547"/>
    <w:rsid w:val="00F5211B"/>
    <w:rsid w:val="00F6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AC35D4"/>
  <w15:docId w15:val="{87B5C5DD-05D8-874D-80A5-1CE08419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0" w:lineRule="auto"/>
      <w:ind w:left="10" w:right="12" w:hanging="10"/>
    </w:pPr>
    <w:rPr>
      <w:rFonts w:ascii="Calibri" w:eastAsia="Calibri" w:hAnsi="Calibri" w:cs="Times New Roman"/>
      <w:color w:val="0C0C14"/>
      <w:sz w:val="22"/>
      <w:lang w:val="en" w:eastAsia="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F85"/>
    <w:pPr>
      <w:ind w:left="720"/>
      <w:contextualSpacing/>
    </w:pPr>
  </w:style>
  <w:style w:type="character" w:styleId="Hyperlink">
    <w:name w:val="Hyperlink"/>
    <w:basedOn w:val="DefaultParagraphFont"/>
    <w:uiPriority w:val="99"/>
    <w:unhideWhenUsed/>
    <w:rsid w:val="007D4821"/>
    <w:rPr>
      <w:color w:val="467886" w:themeColor="hyperlink"/>
      <w:u w:val="single"/>
    </w:rPr>
  </w:style>
  <w:style w:type="character" w:styleId="UnresolvedMention">
    <w:name w:val="Unresolved Mention"/>
    <w:basedOn w:val="DefaultParagraphFont"/>
    <w:uiPriority w:val="99"/>
    <w:semiHidden/>
    <w:unhideWhenUsed/>
    <w:rsid w:val="007D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792exchange.com/spotlight-reports/proxy-voting/category-descrip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Bareman</dc:creator>
  <cp:keywords/>
  <cp:lastModifiedBy>Dustin DeVito</cp:lastModifiedBy>
  <cp:revision>8</cp:revision>
  <dcterms:created xsi:type="dcterms:W3CDTF">2024-08-23T20:58:00Z</dcterms:created>
  <dcterms:modified xsi:type="dcterms:W3CDTF">2024-09-13T18:21:00Z</dcterms:modified>
</cp:coreProperties>
</file>