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ECDC5" w14:textId="77777777" w:rsidR="003A1D2D" w:rsidRPr="002C1B9F" w:rsidRDefault="003A1D2D" w:rsidP="003A1D2D">
      <w:pPr>
        <w:pStyle w:val="NormalWeb"/>
        <w:rPr>
          <w:rFonts w:asciiTheme="minorHAnsi" w:hAnsiTheme="minorHAnsi"/>
        </w:rPr>
      </w:pPr>
      <w:r w:rsidRPr="002C1B9F">
        <w:rPr>
          <w:rStyle w:val="Strong"/>
          <w:rFonts w:asciiTheme="minorHAnsi" w:eastAsiaTheme="majorEastAsia" w:hAnsiTheme="minorHAnsi"/>
        </w:rPr>
        <w:t>Executive Summary: Analysis of Federal Grants to U.S. Government Contractors Based on Corporate Bias Ratings</w:t>
      </w:r>
    </w:p>
    <w:p w14:paraId="5F2740F5" w14:textId="7EAAC11B" w:rsidR="1C382422" w:rsidRPr="002C1B9F" w:rsidRDefault="1C382422" w:rsidP="1C382422">
      <w:pPr>
        <w:pStyle w:val="NormalWeb"/>
        <w:rPr>
          <w:rStyle w:val="Strong"/>
          <w:rFonts w:asciiTheme="minorHAnsi" w:eastAsiaTheme="majorEastAsia" w:hAnsiTheme="minorHAnsi"/>
        </w:rPr>
      </w:pPr>
    </w:p>
    <w:p w14:paraId="1878BF88" w14:textId="77777777" w:rsidR="003A1D2D" w:rsidRPr="002C1B9F" w:rsidRDefault="003A1D2D" w:rsidP="003A1D2D">
      <w:pPr>
        <w:pStyle w:val="NormalWeb"/>
        <w:rPr>
          <w:rFonts w:asciiTheme="minorHAnsi" w:hAnsiTheme="minorHAnsi"/>
        </w:rPr>
      </w:pPr>
      <w:r w:rsidRPr="002C1B9F">
        <w:rPr>
          <w:rStyle w:val="Strong"/>
          <w:rFonts w:asciiTheme="minorHAnsi" w:eastAsiaTheme="majorEastAsia" w:hAnsiTheme="minorHAnsi"/>
        </w:rPr>
        <w:t>Overview</w:t>
      </w:r>
    </w:p>
    <w:p w14:paraId="19FDA826" w14:textId="4644CEB8" w:rsidR="6D36CFEE" w:rsidRPr="002C1B9F" w:rsidRDefault="6D36CFEE" w:rsidP="6D36CFEE">
      <w:pPr>
        <w:pStyle w:val="NormalWeb"/>
        <w:rPr>
          <w:rStyle w:val="relative"/>
          <w:rFonts w:asciiTheme="minorHAnsi" w:eastAsiaTheme="majorEastAsia" w:hAnsiTheme="minorHAnsi"/>
        </w:rPr>
      </w:pPr>
    </w:p>
    <w:p w14:paraId="6B588A63" w14:textId="0AFF211D" w:rsidR="003A1D2D" w:rsidRPr="002C1B9F" w:rsidRDefault="003A1D2D" w:rsidP="1C382422">
      <w:pPr>
        <w:pStyle w:val="NormalWeb"/>
        <w:rPr>
          <w:rFonts w:asciiTheme="minorHAnsi" w:eastAsiaTheme="majorEastAsia" w:hAnsiTheme="minorHAnsi"/>
        </w:rPr>
      </w:pPr>
      <w:r w:rsidRPr="002C1B9F">
        <w:rPr>
          <w:rStyle w:val="relative"/>
          <w:rFonts w:asciiTheme="minorHAnsi" w:eastAsiaTheme="majorEastAsia" w:hAnsiTheme="minorHAnsi"/>
        </w:rPr>
        <w:t xml:space="preserve">1792 Exchange has conducted an extensive evaluation of the top </w:t>
      </w:r>
      <w:hyperlink r:id="rId5">
        <w:r w:rsidRPr="002C1B9F">
          <w:rPr>
            <w:rStyle w:val="Hyperlink"/>
            <w:rFonts w:asciiTheme="minorHAnsi" w:eastAsiaTheme="majorEastAsia" w:hAnsiTheme="minorHAnsi"/>
          </w:rPr>
          <w:t>100 U.S. government contractors</w:t>
        </w:r>
      </w:hyperlink>
      <w:r w:rsidRPr="002C1B9F">
        <w:rPr>
          <w:rStyle w:val="relative"/>
          <w:rFonts w:asciiTheme="minorHAnsi" w:eastAsiaTheme="majorEastAsia" w:hAnsiTheme="minorHAnsi"/>
        </w:rPr>
        <w:t xml:space="preserve">, as listed by </w:t>
      </w:r>
      <w:hyperlink r:id="rId6">
        <w:r w:rsidRPr="002C1B9F">
          <w:rPr>
            <w:rStyle w:val="Hyperlink"/>
            <w:rFonts w:asciiTheme="minorHAnsi" w:eastAsiaTheme="majorEastAsia" w:hAnsiTheme="minorHAnsi"/>
          </w:rPr>
          <w:t>SAM.gov for FY23</w:t>
        </w:r>
      </w:hyperlink>
      <w:r w:rsidRPr="002C1B9F">
        <w:rPr>
          <w:rStyle w:val="relative"/>
          <w:rFonts w:asciiTheme="minorHAnsi" w:eastAsiaTheme="majorEastAsia" w:hAnsiTheme="minorHAnsi"/>
        </w:rPr>
        <w:t xml:space="preserve">, that combined have received </w:t>
      </w:r>
      <w:r w:rsidRPr="002C1B9F">
        <w:rPr>
          <w:rFonts w:asciiTheme="minorHAnsi" w:eastAsiaTheme="majorEastAsia" w:hAnsiTheme="minorHAnsi"/>
        </w:rPr>
        <w:t xml:space="preserve">over $431 billion in federal contract awards and more than 39 million procurement actions. </w:t>
      </w:r>
    </w:p>
    <w:p w14:paraId="5947A946" w14:textId="4FC21261" w:rsidR="1C382422" w:rsidRPr="002C1B9F" w:rsidRDefault="1C382422" w:rsidP="1C382422">
      <w:pPr>
        <w:pStyle w:val="NormalWeb"/>
        <w:rPr>
          <w:rFonts w:asciiTheme="minorHAnsi" w:hAnsiTheme="minorHAnsi"/>
        </w:rPr>
      </w:pPr>
    </w:p>
    <w:p w14:paraId="3EC1EAD5" w14:textId="4AEF01DD" w:rsidR="003A1D2D" w:rsidRPr="002C1B9F" w:rsidRDefault="003A1D2D" w:rsidP="003A1D2D">
      <w:pPr>
        <w:pStyle w:val="NormalWeb"/>
        <w:rPr>
          <w:rFonts w:asciiTheme="minorHAnsi" w:hAnsiTheme="minorHAnsi"/>
        </w:rPr>
      </w:pPr>
      <w:r w:rsidRPr="002C1B9F">
        <w:rPr>
          <w:rFonts w:asciiTheme="minorHAnsi" w:hAnsiTheme="minorHAnsi"/>
        </w:rPr>
        <w:t xml:space="preserve">Despite receiving a combined $265 billion in federal grants or contracts, </w:t>
      </w:r>
      <w:r w:rsidRPr="002C1B9F">
        <w:rPr>
          <w:rFonts w:asciiTheme="minorHAnsi" w:eastAsiaTheme="majorEastAsia" w:hAnsiTheme="minorHAnsi"/>
        </w:rPr>
        <w:t xml:space="preserve">36 have earned a label of </w:t>
      </w:r>
      <w:r w:rsidRPr="002C1B9F">
        <w:rPr>
          <w:rFonts w:asciiTheme="minorHAnsi" w:hAnsiTheme="minorHAnsi"/>
        </w:rPr>
        <w:t xml:space="preserve">"High Risk" according to 1792’s </w:t>
      </w:r>
      <w:hyperlink r:id="rId7">
        <w:r w:rsidR="56B5D855" w:rsidRPr="002C1B9F">
          <w:rPr>
            <w:rStyle w:val="Hyperlink"/>
            <w:rFonts w:asciiTheme="minorHAnsi" w:hAnsiTheme="minorHAnsi"/>
          </w:rPr>
          <w:t>Corporate Bias Ratings</w:t>
        </w:r>
      </w:hyperlink>
      <w:r w:rsidR="56B5D855" w:rsidRPr="002C1B9F">
        <w:rPr>
          <w:rFonts w:asciiTheme="minorHAnsi" w:hAnsiTheme="minorHAnsi"/>
        </w:rPr>
        <w:t>.</w:t>
      </w:r>
      <w:r w:rsidRPr="002C1B9F">
        <w:rPr>
          <w:rFonts w:asciiTheme="minorHAnsi" w:hAnsiTheme="minorHAnsi"/>
        </w:rPr>
        <w:t xml:space="preserve"> Those carrying the label of “High Risk” or “Medium Risk” are likely to be maintaining diversity, equity, and inclusion (DEI) and gender policies that may conflict </w:t>
      </w:r>
      <w:r w:rsidRPr="002C1B9F">
        <w:rPr>
          <w:rStyle w:val="relative"/>
          <w:rFonts w:asciiTheme="minorHAnsi" w:eastAsiaTheme="majorEastAsia" w:hAnsiTheme="minorHAnsi"/>
        </w:rPr>
        <w:t xml:space="preserve">with </w:t>
      </w:r>
      <w:r w:rsidRPr="002C1B9F">
        <w:rPr>
          <w:rFonts w:asciiTheme="minorHAnsi" w:eastAsiaTheme="majorEastAsia" w:hAnsiTheme="minorHAnsi"/>
        </w:rPr>
        <w:t xml:space="preserve">Executive Orders </w:t>
      </w:r>
      <w:hyperlink r:id="rId8">
        <w:r w:rsidR="56B5D855" w:rsidRPr="002C1B9F">
          <w:rPr>
            <w:rStyle w:val="Hyperlink"/>
            <w:rFonts w:asciiTheme="minorHAnsi" w:eastAsiaTheme="majorEastAsia" w:hAnsiTheme="minorHAnsi"/>
          </w:rPr>
          <w:t>14168</w:t>
        </w:r>
      </w:hyperlink>
      <w:r w:rsidR="56B5D855" w:rsidRPr="002C1B9F">
        <w:rPr>
          <w:rFonts w:asciiTheme="minorHAnsi" w:eastAsiaTheme="majorEastAsia" w:hAnsiTheme="minorHAnsi"/>
        </w:rPr>
        <w:t xml:space="preserve"> </w:t>
      </w:r>
      <w:r w:rsidR="56B5D855" w:rsidRPr="002C1B9F">
        <w:rPr>
          <w:rStyle w:val="relative"/>
          <w:rFonts w:asciiTheme="minorHAnsi" w:eastAsiaTheme="majorEastAsia" w:hAnsiTheme="minorHAnsi"/>
        </w:rPr>
        <w:t xml:space="preserve">and </w:t>
      </w:r>
      <w:hyperlink r:id="rId9">
        <w:r w:rsidR="56B5D855" w:rsidRPr="002C1B9F">
          <w:rPr>
            <w:rStyle w:val="Hyperlink"/>
            <w:rFonts w:asciiTheme="minorHAnsi" w:eastAsiaTheme="majorEastAsia" w:hAnsiTheme="minorHAnsi"/>
          </w:rPr>
          <w:t>14173</w:t>
        </w:r>
      </w:hyperlink>
      <w:r w:rsidR="56B5D855" w:rsidRPr="002C1B9F">
        <w:rPr>
          <w:rStyle w:val="relative"/>
          <w:rFonts w:asciiTheme="minorHAnsi" w:eastAsiaTheme="majorEastAsia" w:hAnsiTheme="minorHAnsi"/>
        </w:rPr>
        <w:t xml:space="preserve">, </w:t>
      </w:r>
      <w:r w:rsidR="087415D1" w:rsidRPr="002C1B9F">
        <w:rPr>
          <w:rStyle w:val="relative"/>
          <w:rFonts w:asciiTheme="minorHAnsi" w:eastAsiaTheme="majorEastAsia" w:hAnsiTheme="minorHAnsi"/>
        </w:rPr>
        <w:t>signed</w:t>
      </w:r>
      <w:r w:rsidR="56B5D855" w:rsidRPr="002C1B9F">
        <w:rPr>
          <w:rStyle w:val="relative"/>
          <w:rFonts w:asciiTheme="minorHAnsi" w:eastAsiaTheme="majorEastAsia" w:hAnsiTheme="minorHAnsi"/>
        </w:rPr>
        <w:t xml:space="preserve"> by President Donald J. </w:t>
      </w:r>
      <w:r w:rsidRPr="002C1B9F">
        <w:rPr>
          <w:rStyle w:val="relative"/>
          <w:rFonts w:asciiTheme="minorHAnsi" w:eastAsiaTheme="majorEastAsia" w:hAnsiTheme="minorHAnsi"/>
        </w:rPr>
        <w:t xml:space="preserve">Trump </w:t>
      </w:r>
      <w:r w:rsidR="24478BE9" w:rsidRPr="002C1B9F">
        <w:rPr>
          <w:rStyle w:val="relative"/>
          <w:rFonts w:asciiTheme="minorHAnsi" w:eastAsiaTheme="majorEastAsia" w:hAnsiTheme="minorHAnsi"/>
        </w:rPr>
        <w:t>i</w:t>
      </w:r>
      <w:r w:rsidR="0200C385" w:rsidRPr="002C1B9F">
        <w:rPr>
          <w:rStyle w:val="relative"/>
          <w:rFonts w:asciiTheme="minorHAnsi" w:eastAsiaTheme="majorEastAsia" w:hAnsiTheme="minorHAnsi"/>
        </w:rPr>
        <w:t>n</w:t>
      </w:r>
      <w:r w:rsidRPr="002C1B9F">
        <w:rPr>
          <w:rStyle w:val="relative"/>
          <w:rFonts w:asciiTheme="minorHAnsi" w:eastAsiaTheme="majorEastAsia" w:hAnsiTheme="minorHAnsi"/>
        </w:rPr>
        <w:t xml:space="preserve"> January </w:t>
      </w:r>
      <w:r w:rsidR="56B5D855" w:rsidRPr="002C1B9F">
        <w:rPr>
          <w:rStyle w:val="relative"/>
          <w:rFonts w:asciiTheme="minorHAnsi" w:eastAsiaTheme="majorEastAsia" w:hAnsiTheme="minorHAnsi"/>
        </w:rPr>
        <w:t>202</w:t>
      </w:r>
      <w:r w:rsidR="662495B4" w:rsidRPr="002C1B9F">
        <w:rPr>
          <w:rStyle w:val="relative"/>
          <w:rFonts w:asciiTheme="minorHAnsi" w:eastAsiaTheme="majorEastAsia" w:hAnsiTheme="minorHAnsi"/>
        </w:rPr>
        <w:t>5</w:t>
      </w:r>
      <w:r w:rsidRPr="002C1B9F">
        <w:rPr>
          <w:rStyle w:val="relative"/>
          <w:rFonts w:asciiTheme="minorHAnsi" w:eastAsiaTheme="majorEastAsia" w:hAnsiTheme="minorHAnsi"/>
        </w:rPr>
        <w:t>.</w:t>
      </w:r>
      <w:r w:rsidRPr="002C1B9F">
        <w:rPr>
          <w:rFonts w:asciiTheme="minorHAnsi" w:hAnsiTheme="minorHAnsi"/>
        </w:rPr>
        <w:t xml:space="preserve"> </w:t>
      </w:r>
    </w:p>
    <w:p w14:paraId="45C6C85E" w14:textId="37746977" w:rsidR="1C382422" w:rsidRPr="002C1B9F" w:rsidRDefault="1C382422" w:rsidP="1C382422">
      <w:pPr>
        <w:pStyle w:val="NormalWeb"/>
        <w:rPr>
          <w:rFonts w:asciiTheme="minorHAnsi" w:hAnsiTheme="minorHAnsi"/>
        </w:rPr>
      </w:pPr>
    </w:p>
    <w:p w14:paraId="305AB264" w14:textId="26DB25A1" w:rsidR="003A1D2D" w:rsidRPr="002C1B9F" w:rsidRDefault="003A1D2D" w:rsidP="003A1D2D">
      <w:pPr>
        <w:pStyle w:val="NormalWeb"/>
        <w:rPr>
          <w:rFonts w:asciiTheme="minorHAnsi" w:hAnsiTheme="minorHAnsi"/>
        </w:rPr>
      </w:pPr>
      <w:r w:rsidRPr="002C1B9F">
        <w:rPr>
          <w:rFonts w:asciiTheme="minorHAnsi" w:hAnsiTheme="minorHAnsi"/>
        </w:rPr>
        <w:t>According to publicly available information, these companies have engaged in politicized diversity, equity, and inclusion (DEI) initiatives that often include</w:t>
      </w:r>
      <w:r w:rsidR="000B525A" w:rsidRPr="002C1B9F">
        <w:rPr>
          <w:rFonts w:asciiTheme="minorHAnsi" w:hAnsiTheme="minorHAnsi"/>
        </w:rPr>
        <w:t xml:space="preserve"> </w:t>
      </w:r>
      <w:r w:rsidR="00947AC4" w:rsidRPr="002C1B9F">
        <w:rPr>
          <w:rFonts w:asciiTheme="minorHAnsi" w:hAnsiTheme="minorHAnsi"/>
        </w:rPr>
        <w:t>executive compensation schemes linked to diversity targets</w:t>
      </w:r>
      <w:r w:rsidR="00464850" w:rsidRPr="002C1B9F">
        <w:rPr>
          <w:rFonts w:asciiTheme="minorHAnsi" w:hAnsiTheme="minorHAnsi"/>
        </w:rPr>
        <w:t xml:space="preserve"> and </w:t>
      </w:r>
      <w:r w:rsidR="00947AC4" w:rsidRPr="002C1B9F">
        <w:rPr>
          <w:rFonts w:asciiTheme="minorHAnsi" w:hAnsiTheme="minorHAnsi"/>
        </w:rPr>
        <w:t>the creation of</w:t>
      </w:r>
      <w:r w:rsidRPr="002C1B9F">
        <w:rPr>
          <w:rFonts w:asciiTheme="minorHAnsi" w:hAnsiTheme="minorHAnsi"/>
        </w:rPr>
        <w:t xml:space="preserve"> employee affinity groups, race-conscious training programs, or gender policies that prioritize identity categories over merit, biological realities, and political neutrality. </w:t>
      </w:r>
    </w:p>
    <w:p w14:paraId="28A2F129" w14:textId="06DAD02B" w:rsidR="1C382422" w:rsidRPr="002C1B9F" w:rsidRDefault="1C382422" w:rsidP="1C382422">
      <w:pPr>
        <w:pStyle w:val="NormalWeb"/>
        <w:rPr>
          <w:rStyle w:val="relative"/>
          <w:rFonts w:asciiTheme="minorHAnsi" w:eastAsiaTheme="majorEastAsia" w:hAnsiTheme="minorHAnsi"/>
        </w:rPr>
      </w:pPr>
    </w:p>
    <w:p w14:paraId="227A64F8" w14:textId="07EC8F34" w:rsidR="003A1D2D" w:rsidRPr="002C1B9F" w:rsidRDefault="003A1D2D" w:rsidP="003A1D2D">
      <w:pPr>
        <w:pStyle w:val="NormalWeb"/>
        <w:rPr>
          <w:rStyle w:val="relative"/>
          <w:rFonts w:asciiTheme="minorHAnsi" w:eastAsiaTheme="majorEastAsia" w:hAnsiTheme="minorHAnsi"/>
        </w:rPr>
      </w:pPr>
      <w:r w:rsidRPr="002C1B9F">
        <w:rPr>
          <w:rStyle w:val="relative"/>
          <w:rFonts w:asciiTheme="minorHAnsi" w:eastAsiaTheme="majorEastAsia" w:hAnsiTheme="minorHAnsi"/>
        </w:rPr>
        <w:t xml:space="preserve">1792 Exchange’s data </w:t>
      </w:r>
      <w:r w:rsidR="5E614F6D" w:rsidRPr="002C1B9F">
        <w:rPr>
          <w:rStyle w:val="relative"/>
          <w:rFonts w:asciiTheme="minorHAnsi" w:eastAsiaTheme="majorEastAsia" w:hAnsiTheme="minorHAnsi"/>
        </w:rPr>
        <w:t>is</w:t>
      </w:r>
      <w:r w:rsidRPr="002C1B9F">
        <w:rPr>
          <w:rStyle w:val="relative"/>
          <w:rFonts w:asciiTheme="minorHAnsi" w:eastAsiaTheme="majorEastAsia" w:hAnsiTheme="minorHAnsi"/>
        </w:rPr>
        <w:t xml:space="preserve"> a resource for regulators, lawmakers, and watchdogs to scrutinize whether public funds are being directed toward companies that may now stand in violation of federal mandates. </w:t>
      </w:r>
    </w:p>
    <w:p w14:paraId="59F9EBB3" w14:textId="34A1545D" w:rsidR="1C382422" w:rsidRPr="002C1B9F" w:rsidRDefault="1C382422" w:rsidP="1C382422">
      <w:pPr>
        <w:pStyle w:val="NormalWeb"/>
        <w:rPr>
          <w:rStyle w:val="relative"/>
          <w:rFonts w:asciiTheme="minorHAnsi" w:eastAsiaTheme="majorEastAsia" w:hAnsiTheme="minorHAnsi"/>
        </w:rPr>
      </w:pPr>
    </w:p>
    <w:p w14:paraId="4C80523D" w14:textId="77777777" w:rsidR="003A1D2D" w:rsidRPr="002C1B9F" w:rsidRDefault="003A1D2D" w:rsidP="003A1D2D">
      <w:pPr>
        <w:pStyle w:val="NormalWeb"/>
        <w:rPr>
          <w:rStyle w:val="relative"/>
          <w:rFonts w:asciiTheme="minorHAnsi" w:eastAsiaTheme="majorEastAsia" w:hAnsiTheme="minorHAnsi"/>
        </w:rPr>
      </w:pPr>
      <w:r w:rsidRPr="002C1B9F">
        <w:rPr>
          <w:rStyle w:val="relative"/>
          <w:rFonts w:asciiTheme="minorHAnsi" w:eastAsiaTheme="majorEastAsia" w:hAnsiTheme="minorHAnsi"/>
        </w:rPr>
        <w:t xml:space="preserve">1792 invites all companies on this list to submit corrections to this data if they have made changes to their policies and provide information on how they have or will adjust their operations to comply with </w:t>
      </w:r>
      <w:r w:rsidRPr="002C1B9F">
        <w:rPr>
          <w:rFonts w:asciiTheme="minorHAnsi" w:eastAsiaTheme="majorEastAsia" w:hAnsiTheme="minorHAnsi"/>
        </w:rPr>
        <w:t xml:space="preserve">Executive Orders 14168 </w:t>
      </w:r>
      <w:r w:rsidRPr="002C1B9F">
        <w:rPr>
          <w:rStyle w:val="relative"/>
          <w:rFonts w:asciiTheme="minorHAnsi" w:eastAsiaTheme="majorEastAsia" w:hAnsiTheme="minorHAnsi"/>
        </w:rPr>
        <w:t>and 14173.</w:t>
      </w:r>
    </w:p>
    <w:p w14:paraId="14B5A220" w14:textId="211EEF61" w:rsidR="1C382422" w:rsidRPr="002C1B9F" w:rsidRDefault="1C382422" w:rsidP="1C382422">
      <w:pPr>
        <w:pStyle w:val="NormalWeb"/>
        <w:rPr>
          <w:rStyle w:val="Strong"/>
          <w:rFonts w:asciiTheme="minorHAnsi" w:eastAsiaTheme="majorEastAsia" w:hAnsiTheme="minorHAnsi"/>
        </w:rPr>
      </w:pPr>
    </w:p>
    <w:p w14:paraId="71DFC752" w14:textId="77777777" w:rsidR="003A1D2D" w:rsidRPr="002C1B9F" w:rsidRDefault="56B5D855" w:rsidP="003A1D2D">
      <w:pPr>
        <w:pStyle w:val="NormalWeb"/>
        <w:rPr>
          <w:rFonts w:asciiTheme="minorHAnsi" w:hAnsiTheme="minorHAnsi"/>
        </w:rPr>
      </w:pPr>
      <w:r w:rsidRPr="002C1B9F">
        <w:rPr>
          <w:rStyle w:val="Strong"/>
          <w:rFonts w:asciiTheme="minorHAnsi" w:eastAsiaTheme="majorEastAsia" w:hAnsiTheme="minorHAnsi"/>
        </w:rPr>
        <w:t xml:space="preserve">Federal Grant Allocation by </w:t>
      </w:r>
      <w:r w:rsidRPr="002C1B9F">
        <w:rPr>
          <w:rFonts w:asciiTheme="minorHAnsi" w:hAnsiTheme="minorHAnsi"/>
        </w:rPr>
        <w:fldChar w:fldCharType="begin"/>
      </w:r>
      <w:r w:rsidRPr="002C1B9F">
        <w:rPr>
          <w:rFonts w:asciiTheme="minorHAnsi" w:hAnsiTheme="minorHAnsi"/>
        </w:rPr>
        <w:instrText>HYPERLINK "https://1792exchange.com/spotlight-reports/corporate-bias-ratings/grading-criteria/" \h</w:instrText>
      </w:r>
      <w:r w:rsidRPr="002C1B9F">
        <w:rPr>
          <w:rFonts w:asciiTheme="minorHAnsi" w:hAnsiTheme="minorHAnsi"/>
        </w:rPr>
      </w:r>
      <w:r w:rsidRPr="002C1B9F">
        <w:rPr>
          <w:rFonts w:asciiTheme="minorHAnsi" w:hAnsiTheme="minorHAnsi"/>
        </w:rPr>
        <w:fldChar w:fldCharType="separate"/>
      </w:r>
      <w:r w:rsidRPr="002C1B9F">
        <w:rPr>
          <w:rStyle w:val="Hyperlink"/>
          <w:rFonts w:asciiTheme="minorHAnsi" w:eastAsiaTheme="majorEastAsia" w:hAnsiTheme="minorHAnsi"/>
        </w:rPr>
        <w:t>Risk</w:t>
      </w:r>
      <w:r w:rsidRPr="002C1B9F">
        <w:rPr>
          <w:rFonts w:asciiTheme="minorHAnsi" w:hAnsiTheme="minorHAnsi"/>
        </w:rPr>
        <w:fldChar w:fldCharType="end"/>
      </w:r>
      <w:r w:rsidRPr="002C1B9F">
        <w:rPr>
          <w:rStyle w:val="Strong"/>
          <w:rFonts w:asciiTheme="minorHAnsi" w:eastAsiaTheme="majorEastAsia" w:hAnsiTheme="minorHAnsi"/>
        </w:rPr>
        <w:t xml:space="preserve"> </w:t>
      </w:r>
    </w:p>
    <w:p w14:paraId="6618E48E" w14:textId="61677CAF" w:rsidR="29135BCC" w:rsidRPr="002C1B9F" w:rsidRDefault="29135BCC" w:rsidP="29135BCC">
      <w:pPr>
        <w:pStyle w:val="NormalWeb"/>
        <w:rPr>
          <w:rStyle w:val="Strong"/>
          <w:rFonts w:asciiTheme="minorHAnsi" w:eastAsiaTheme="majorEastAsia" w:hAnsiTheme="minorHAnsi"/>
        </w:rPr>
      </w:pPr>
    </w:p>
    <w:p w14:paraId="30EE9AD6" w14:textId="77777777" w:rsidR="003A1D2D" w:rsidRPr="002C1B9F" w:rsidRDefault="003A1D2D" w:rsidP="003A1D2D">
      <w:pPr>
        <w:pStyle w:val="NormalWeb"/>
        <w:numPr>
          <w:ilvl w:val="0"/>
          <w:numId w:val="1"/>
        </w:numPr>
        <w:rPr>
          <w:rFonts w:asciiTheme="minorHAnsi" w:hAnsiTheme="minorHAnsi"/>
        </w:rPr>
      </w:pPr>
      <w:r w:rsidRPr="002C1B9F">
        <w:rPr>
          <w:rStyle w:val="Strong"/>
          <w:rFonts w:asciiTheme="minorHAnsi" w:eastAsiaTheme="majorEastAsia" w:hAnsiTheme="minorHAnsi"/>
        </w:rPr>
        <w:t>High-Risk Contractors</w:t>
      </w:r>
      <w:r w:rsidRPr="002C1B9F">
        <w:rPr>
          <w:rFonts w:asciiTheme="minorHAnsi" w:hAnsiTheme="minorHAnsi"/>
        </w:rPr>
        <w:t xml:space="preserve">: </w:t>
      </w:r>
      <w:r w:rsidRPr="002C1B9F">
        <w:rPr>
          <w:rStyle w:val="relative"/>
          <w:rFonts w:asciiTheme="minorHAnsi" w:eastAsiaTheme="majorEastAsia" w:hAnsiTheme="minorHAnsi"/>
        </w:rPr>
        <w:t>36 companies have been identified as High Risk, collectively receiving approximately $265 billion in federal contracts.</w:t>
      </w:r>
    </w:p>
    <w:p w14:paraId="4CB6DBEF" w14:textId="77777777" w:rsidR="003A1D2D" w:rsidRPr="002C1B9F" w:rsidRDefault="003A1D2D" w:rsidP="003A1D2D">
      <w:pPr>
        <w:pStyle w:val="NormalWeb"/>
        <w:numPr>
          <w:ilvl w:val="0"/>
          <w:numId w:val="1"/>
        </w:numPr>
        <w:rPr>
          <w:rFonts w:asciiTheme="minorHAnsi" w:hAnsiTheme="minorHAnsi"/>
        </w:rPr>
      </w:pPr>
      <w:r w:rsidRPr="002C1B9F">
        <w:rPr>
          <w:rStyle w:val="Strong"/>
          <w:rFonts w:asciiTheme="minorHAnsi" w:eastAsiaTheme="majorEastAsia" w:hAnsiTheme="minorHAnsi"/>
        </w:rPr>
        <w:t>Medium Risk Contractors</w:t>
      </w:r>
      <w:r w:rsidRPr="002C1B9F">
        <w:rPr>
          <w:rFonts w:asciiTheme="minorHAnsi" w:hAnsiTheme="minorHAnsi"/>
        </w:rPr>
        <w:t xml:space="preserve">: </w:t>
      </w:r>
      <w:r w:rsidRPr="002C1B9F">
        <w:rPr>
          <w:rStyle w:val="relative"/>
          <w:rFonts w:asciiTheme="minorHAnsi" w:eastAsiaTheme="majorEastAsia" w:hAnsiTheme="minorHAnsi"/>
        </w:rPr>
        <w:t>16 companies fall under the Medium Risk category, with total federal contracts valued at approximately $77.5 billion.</w:t>
      </w:r>
    </w:p>
    <w:p w14:paraId="1E2031A6" w14:textId="77777777" w:rsidR="003A1D2D" w:rsidRPr="002C1B9F" w:rsidRDefault="003A1D2D" w:rsidP="003A1D2D">
      <w:pPr>
        <w:pStyle w:val="NormalWeb"/>
        <w:numPr>
          <w:ilvl w:val="0"/>
          <w:numId w:val="1"/>
        </w:numPr>
        <w:rPr>
          <w:rFonts w:asciiTheme="minorHAnsi" w:hAnsiTheme="minorHAnsi"/>
        </w:rPr>
      </w:pPr>
      <w:r w:rsidRPr="002C1B9F">
        <w:rPr>
          <w:rStyle w:val="Strong"/>
          <w:rFonts w:asciiTheme="minorHAnsi" w:eastAsiaTheme="majorEastAsia" w:hAnsiTheme="minorHAnsi"/>
        </w:rPr>
        <w:t>Lower-Risk Contractors</w:t>
      </w:r>
      <w:r w:rsidRPr="002C1B9F">
        <w:rPr>
          <w:rFonts w:asciiTheme="minorHAnsi" w:hAnsiTheme="minorHAnsi"/>
        </w:rPr>
        <w:t xml:space="preserve">: </w:t>
      </w:r>
      <w:r w:rsidRPr="002C1B9F">
        <w:rPr>
          <w:rStyle w:val="relative"/>
          <w:rFonts w:asciiTheme="minorHAnsi" w:eastAsiaTheme="majorEastAsia" w:hAnsiTheme="minorHAnsi"/>
        </w:rPr>
        <w:t>46 companies are categorized as Lower Risk, having received approximately $88 billion in federal contracts.</w:t>
      </w:r>
    </w:p>
    <w:p w14:paraId="3566A968" w14:textId="1642092A" w:rsidR="1C382422" w:rsidRPr="002C1B9F" w:rsidRDefault="1C382422" w:rsidP="1C382422">
      <w:pPr>
        <w:pStyle w:val="NormalWeb"/>
        <w:rPr>
          <w:rStyle w:val="Strong"/>
          <w:rFonts w:asciiTheme="minorHAnsi" w:eastAsiaTheme="majorEastAsia" w:hAnsiTheme="minorHAnsi"/>
        </w:rPr>
      </w:pPr>
    </w:p>
    <w:p w14:paraId="541D6E44" w14:textId="77777777" w:rsidR="003A1D2D" w:rsidRPr="002C1B9F" w:rsidRDefault="003A1D2D" w:rsidP="003A1D2D">
      <w:pPr>
        <w:pStyle w:val="NormalWeb"/>
        <w:rPr>
          <w:rFonts w:asciiTheme="minorHAnsi" w:hAnsiTheme="minorHAnsi"/>
        </w:rPr>
      </w:pPr>
      <w:r w:rsidRPr="002C1B9F">
        <w:rPr>
          <w:rStyle w:val="Strong"/>
          <w:rFonts w:asciiTheme="minorHAnsi" w:eastAsiaTheme="majorEastAsia" w:hAnsiTheme="minorHAnsi"/>
        </w:rPr>
        <w:t>DEI Behaviors Among High-Risk Companies</w:t>
      </w:r>
    </w:p>
    <w:p w14:paraId="5D4ADE9C" w14:textId="44EB0D26" w:rsidR="29135BCC" w:rsidRPr="002C1B9F" w:rsidRDefault="29135BCC" w:rsidP="29135BCC">
      <w:pPr>
        <w:pStyle w:val="NormalWeb"/>
        <w:rPr>
          <w:rStyle w:val="Strong"/>
          <w:rFonts w:asciiTheme="minorHAnsi" w:eastAsiaTheme="majorEastAsia" w:hAnsiTheme="minorHAnsi"/>
        </w:rPr>
      </w:pPr>
    </w:p>
    <w:p w14:paraId="081C130E" w14:textId="77777777" w:rsidR="003A1D2D" w:rsidRPr="002C1B9F" w:rsidRDefault="003A1D2D" w:rsidP="003A1D2D">
      <w:pPr>
        <w:pStyle w:val="NormalWeb"/>
        <w:rPr>
          <w:rFonts w:asciiTheme="minorHAnsi" w:hAnsiTheme="minorHAnsi"/>
        </w:rPr>
      </w:pPr>
      <w:r w:rsidRPr="002C1B9F">
        <w:rPr>
          <w:rStyle w:val="relative"/>
          <w:rFonts w:asciiTheme="minorHAnsi" w:eastAsiaTheme="majorEastAsia" w:hAnsiTheme="minorHAnsi"/>
        </w:rPr>
        <w:t>High Risk companies have demonstrated a pattern of engaging in DEI practices that prioritize ideological conformity over merit-based considerations.</w:t>
      </w:r>
      <w:r w:rsidRPr="002C1B9F">
        <w:rPr>
          <w:rFonts w:asciiTheme="minorHAnsi" w:hAnsiTheme="minorHAnsi"/>
        </w:rPr>
        <w:t xml:space="preserve"> </w:t>
      </w:r>
      <w:r w:rsidRPr="002C1B9F">
        <w:rPr>
          <w:rStyle w:val="relative"/>
          <w:rFonts w:asciiTheme="minorHAnsi" w:eastAsiaTheme="majorEastAsia" w:hAnsiTheme="minorHAnsi"/>
        </w:rPr>
        <w:t>These practices include:</w:t>
      </w:r>
      <w:r w:rsidRPr="002C1B9F">
        <w:rPr>
          <w:rFonts w:asciiTheme="minorHAnsi" w:hAnsiTheme="minorHAnsi"/>
        </w:rPr>
        <w:t xml:space="preserve"> </w:t>
      </w:r>
    </w:p>
    <w:p w14:paraId="3114C52C" w14:textId="437AD165" w:rsidR="29135BCC" w:rsidRPr="002C1B9F" w:rsidRDefault="29135BCC" w:rsidP="29135BCC">
      <w:pPr>
        <w:pStyle w:val="NormalWeb"/>
        <w:rPr>
          <w:rFonts w:asciiTheme="minorHAnsi" w:hAnsiTheme="minorHAnsi"/>
        </w:rPr>
      </w:pPr>
    </w:p>
    <w:p w14:paraId="3813A63A" w14:textId="77777777" w:rsidR="003A1D2D" w:rsidRPr="002C1B9F" w:rsidRDefault="003A1D2D" w:rsidP="003A1D2D">
      <w:pPr>
        <w:pStyle w:val="NormalWeb"/>
        <w:numPr>
          <w:ilvl w:val="0"/>
          <w:numId w:val="2"/>
        </w:numPr>
        <w:rPr>
          <w:rFonts w:asciiTheme="minorHAnsi" w:hAnsiTheme="minorHAnsi"/>
        </w:rPr>
      </w:pPr>
      <w:r w:rsidRPr="002C1B9F">
        <w:rPr>
          <w:rStyle w:val="relative"/>
          <w:rFonts w:asciiTheme="minorHAnsi" w:eastAsiaTheme="majorEastAsia" w:hAnsiTheme="minorHAnsi"/>
        </w:rPr>
        <w:t>Implementing recruiting, hiring, promotion, and board composition policies based on race, gender, or sexual orientation.</w:t>
      </w:r>
      <w:r w:rsidRPr="002C1B9F">
        <w:rPr>
          <w:rFonts w:asciiTheme="minorHAnsi" w:hAnsiTheme="minorHAnsi"/>
        </w:rPr>
        <w:t xml:space="preserve"> </w:t>
      </w:r>
    </w:p>
    <w:p w14:paraId="64DCC401" w14:textId="77777777" w:rsidR="003A1D2D" w:rsidRPr="002C1B9F" w:rsidRDefault="003A1D2D" w:rsidP="003A1D2D">
      <w:pPr>
        <w:pStyle w:val="NormalWeb"/>
        <w:numPr>
          <w:ilvl w:val="0"/>
          <w:numId w:val="2"/>
        </w:numPr>
        <w:rPr>
          <w:rFonts w:asciiTheme="minorHAnsi" w:hAnsiTheme="minorHAnsi"/>
        </w:rPr>
      </w:pPr>
      <w:r w:rsidRPr="002C1B9F">
        <w:rPr>
          <w:rStyle w:val="relative"/>
          <w:rFonts w:asciiTheme="minorHAnsi" w:eastAsiaTheme="majorEastAsia" w:hAnsiTheme="minorHAnsi"/>
        </w:rPr>
        <w:t>Requiring employees to participate in training sessions on contentious subjects like gender identity and critical race theory.</w:t>
      </w:r>
      <w:r w:rsidRPr="002C1B9F">
        <w:rPr>
          <w:rFonts w:asciiTheme="minorHAnsi" w:hAnsiTheme="minorHAnsi"/>
        </w:rPr>
        <w:t> </w:t>
      </w:r>
    </w:p>
    <w:p w14:paraId="04583867" w14:textId="77777777" w:rsidR="003A1D2D" w:rsidRPr="002C1B9F" w:rsidRDefault="003A1D2D" w:rsidP="003A1D2D">
      <w:pPr>
        <w:pStyle w:val="NormalWeb"/>
        <w:numPr>
          <w:ilvl w:val="0"/>
          <w:numId w:val="2"/>
        </w:numPr>
        <w:rPr>
          <w:rFonts w:asciiTheme="minorHAnsi" w:hAnsiTheme="minorHAnsi"/>
        </w:rPr>
      </w:pPr>
      <w:r w:rsidRPr="002C1B9F">
        <w:rPr>
          <w:rStyle w:val="relative"/>
          <w:rFonts w:asciiTheme="minorHAnsi" w:eastAsiaTheme="majorEastAsia" w:hAnsiTheme="minorHAnsi"/>
        </w:rPr>
        <w:t>Requiring vendors and suppliers to adhere to specific DEI policies that may discriminate against those with differing viewpoints or those from less diverse geographic regions.</w:t>
      </w:r>
    </w:p>
    <w:p w14:paraId="47787952" w14:textId="77777777" w:rsidR="003A1D2D" w:rsidRPr="002C1B9F" w:rsidRDefault="003A1D2D" w:rsidP="003A1D2D">
      <w:pPr>
        <w:pStyle w:val="NormalWeb"/>
        <w:numPr>
          <w:ilvl w:val="0"/>
          <w:numId w:val="2"/>
        </w:numPr>
        <w:rPr>
          <w:rFonts w:asciiTheme="minorHAnsi" w:hAnsiTheme="minorHAnsi"/>
        </w:rPr>
      </w:pPr>
      <w:r w:rsidRPr="002C1B9F">
        <w:rPr>
          <w:rStyle w:val="relative"/>
          <w:rFonts w:asciiTheme="minorHAnsi" w:eastAsiaTheme="majorEastAsia" w:hAnsiTheme="minorHAnsi"/>
        </w:rPr>
        <w:t>Aligning corporate governance on philanthropy and marketing strategies with progressive social agendas and discriminating against organizations with conservative views on family.</w:t>
      </w:r>
    </w:p>
    <w:p w14:paraId="3D88E81A" w14:textId="4BBF98C2" w:rsidR="1C382422" w:rsidRPr="002C1B9F" w:rsidRDefault="1C382422" w:rsidP="1C382422">
      <w:pPr>
        <w:pStyle w:val="NormalWeb"/>
        <w:rPr>
          <w:rStyle w:val="Strong"/>
          <w:rFonts w:asciiTheme="minorHAnsi" w:eastAsiaTheme="majorEastAsia" w:hAnsiTheme="minorHAnsi"/>
        </w:rPr>
      </w:pPr>
    </w:p>
    <w:p w14:paraId="73D31794" w14:textId="77777777" w:rsidR="003A1D2D" w:rsidRPr="002C1B9F" w:rsidRDefault="003A1D2D" w:rsidP="003A1D2D">
      <w:pPr>
        <w:pStyle w:val="NormalWeb"/>
        <w:rPr>
          <w:rFonts w:asciiTheme="minorHAnsi" w:hAnsiTheme="minorHAnsi"/>
        </w:rPr>
      </w:pPr>
      <w:r w:rsidRPr="002C1B9F">
        <w:rPr>
          <w:rStyle w:val="Strong"/>
          <w:rFonts w:asciiTheme="minorHAnsi" w:eastAsiaTheme="majorEastAsia" w:hAnsiTheme="minorHAnsi"/>
        </w:rPr>
        <w:t>Key Takeaways</w:t>
      </w:r>
    </w:p>
    <w:p w14:paraId="71D5E026" w14:textId="69606C7B" w:rsidR="29135BCC" w:rsidRPr="002C1B9F" w:rsidRDefault="29135BCC" w:rsidP="29135BCC">
      <w:pPr>
        <w:pStyle w:val="NormalWeb"/>
        <w:rPr>
          <w:rStyle w:val="Strong"/>
          <w:rFonts w:asciiTheme="minorHAnsi" w:eastAsiaTheme="majorEastAsia" w:hAnsiTheme="minorHAnsi"/>
        </w:rPr>
      </w:pPr>
    </w:p>
    <w:p w14:paraId="043C6BFA" w14:textId="7E98008A" w:rsidR="003A1D2D" w:rsidRPr="002C1B9F" w:rsidRDefault="56B5D855" w:rsidP="29135BCC">
      <w:pPr>
        <w:pStyle w:val="NormalWeb"/>
        <w:numPr>
          <w:ilvl w:val="0"/>
          <w:numId w:val="4"/>
        </w:numPr>
        <w:rPr>
          <w:rStyle w:val="relative"/>
          <w:rFonts w:asciiTheme="minorHAnsi" w:eastAsiaTheme="majorEastAsia" w:hAnsiTheme="minorHAnsi"/>
        </w:rPr>
      </w:pPr>
      <w:hyperlink r:id="rId10">
        <w:r w:rsidRPr="002C1B9F">
          <w:rPr>
            <w:rStyle w:val="Hyperlink"/>
            <w:rFonts w:asciiTheme="minorHAnsi" w:eastAsiaTheme="majorEastAsia" w:hAnsiTheme="minorHAnsi"/>
          </w:rPr>
          <w:t>Lockheed Martin Corporation</w:t>
        </w:r>
      </w:hyperlink>
      <w:r w:rsidR="003A1D2D" w:rsidRPr="002C1B9F">
        <w:rPr>
          <w:rStyle w:val="relative"/>
          <w:rFonts w:asciiTheme="minorHAnsi" w:eastAsiaTheme="majorEastAsia" w:hAnsiTheme="minorHAnsi"/>
        </w:rPr>
        <w:t xml:space="preserve"> has received over $70 billion in federal contracts while actively promoting DEI initiatives</w:t>
      </w:r>
      <w:r w:rsidR="628BDA83" w:rsidRPr="002C1B9F">
        <w:rPr>
          <w:rStyle w:val="relative"/>
          <w:rFonts w:asciiTheme="minorHAnsi" w:eastAsiaTheme="majorEastAsia" w:hAnsiTheme="minorHAnsi"/>
        </w:rPr>
        <w:t xml:space="preserve">, </w:t>
      </w:r>
      <w:r w:rsidR="3C11E308" w:rsidRPr="002C1B9F">
        <w:rPr>
          <w:rStyle w:val="relative"/>
          <w:rFonts w:asciiTheme="minorHAnsi" w:eastAsiaTheme="majorEastAsia" w:hAnsiTheme="minorHAnsi"/>
        </w:rPr>
        <w:t>includ</w:t>
      </w:r>
      <w:r w:rsidR="06190C69" w:rsidRPr="002C1B9F">
        <w:rPr>
          <w:rStyle w:val="relative"/>
          <w:rFonts w:asciiTheme="minorHAnsi" w:eastAsiaTheme="majorEastAsia" w:hAnsiTheme="minorHAnsi"/>
        </w:rPr>
        <w:t>ing</w:t>
      </w:r>
      <w:r w:rsidR="00B6099A" w:rsidRPr="002C1B9F">
        <w:rPr>
          <w:rStyle w:val="relative"/>
          <w:rFonts w:asciiTheme="minorHAnsi" w:eastAsiaTheme="majorEastAsia" w:hAnsiTheme="minorHAnsi"/>
        </w:rPr>
        <w:t xml:space="preserve"> a</w:t>
      </w:r>
      <w:r w:rsidR="009134F1" w:rsidRPr="002C1B9F">
        <w:rPr>
          <w:rStyle w:val="relative"/>
          <w:rFonts w:asciiTheme="minorHAnsi" w:eastAsiaTheme="majorEastAsia" w:hAnsiTheme="minorHAnsi"/>
        </w:rPr>
        <w:t xml:space="preserve"> three-day</w:t>
      </w:r>
      <w:r w:rsidR="003B6C4F" w:rsidRPr="002C1B9F">
        <w:rPr>
          <w:rStyle w:val="relative"/>
          <w:rFonts w:asciiTheme="minorHAnsi" w:eastAsiaTheme="majorEastAsia" w:hAnsiTheme="minorHAnsi"/>
        </w:rPr>
        <w:t xml:space="preserve"> “</w:t>
      </w:r>
      <w:hyperlink r:id="rId11">
        <w:r w:rsidR="3C11E308" w:rsidRPr="002C1B9F">
          <w:rPr>
            <w:rStyle w:val="Hyperlink"/>
            <w:rFonts w:asciiTheme="minorHAnsi" w:eastAsiaTheme="majorEastAsia" w:hAnsiTheme="minorHAnsi"/>
          </w:rPr>
          <w:t>White Men</w:t>
        </w:r>
        <w:r w:rsidR="718168F5" w:rsidRPr="002C1B9F">
          <w:rPr>
            <w:rStyle w:val="Hyperlink"/>
            <w:rFonts w:asciiTheme="minorHAnsi" w:eastAsiaTheme="majorEastAsia" w:hAnsiTheme="minorHAnsi"/>
          </w:rPr>
          <w:t>’s Caucus</w:t>
        </w:r>
      </w:hyperlink>
      <w:r w:rsidR="718168F5" w:rsidRPr="002C1B9F">
        <w:rPr>
          <w:rStyle w:val="relative"/>
          <w:rFonts w:asciiTheme="minorHAnsi" w:eastAsiaTheme="majorEastAsia" w:hAnsiTheme="minorHAnsi"/>
        </w:rPr>
        <w:t xml:space="preserve">” </w:t>
      </w:r>
      <w:r w:rsidR="7C754FD4" w:rsidRPr="002C1B9F">
        <w:rPr>
          <w:rStyle w:val="relative"/>
          <w:rFonts w:asciiTheme="minorHAnsi" w:eastAsiaTheme="majorEastAsia" w:hAnsiTheme="minorHAnsi"/>
        </w:rPr>
        <w:t xml:space="preserve">in 2020 </w:t>
      </w:r>
      <w:r w:rsidR="00B6099A" w:rsidRPr="002C1B9F">
        <w:rPr>
          <w:rStyle w:val="relative"/>
          <w:rFonts w:asciiTheme="minorHAnsi" w:eastAsiaTheme="majorEastAsia" w:hAnsiTheme="minorHAnsi"/>
        </w:rPr>
        <w:t>for white male executives to ruminate on their “priv</w:t>
      </w:r>
      <w:r w:rsidR="00B407B6" w:rsidRPr="002C1B9F">
        <w:rPr>
          <w:rStyle w:val="relative"/>
          <w:rFonts w:asciiTheme="minorHAnsi" w:eastAsiaTheme="majorEastAsia" w:hAnsiTheme="minorHAnsi"/>
        </w:rPr>
        <w:t>ile</w:t>
      </w:r>
      <w:r w:rsidR="00B6099A" w:rsidRPr="002C1B9F">
        <w:rPr>
          <w:rStyle w:val="relative"/>
          <w:rFonts w:asciiTheme="minorHAnsi" w:eastAsiaTheme="majorEastAsia" w:hAnsiTheme="minorHAnsi"/>
        </w:rPr>
        <w:t>ge</w:t>
      </w:r>
      <w:r w:rsidR="00B407B6" w:rsidRPr="002C1B9F">
        <w:rPr>
          <w:rStyle w:val="relative"/>
          <w:rFonts w:asciiTheme="minorHAnsi" w:eastAsiaTheme="majorEastAsia" w:hAnsiTheme="minorHAnsi"/>
        </w:rPr>
        <w:t>.”</w:t>
      </w:r>
    </w:p>
    <w:p w14:paraId="1D06F5D1" w14:textId="463CA173" w:rsidR="003A1D2D" w:rsidRPr="002C1B9F" w:rsidRDefault="60371D17" w:rsidP="29135BCC">
      <w:pPr>
        <w:pStyle w:val="NormalWeb"/>
        <w:numPr>
          <w:ilvl w:val="0"/>
          <w:numId w:val="4"/>
        </w:numPr>
        <w:rPr>
          <w:rStyle w:val="relative"/>
          <w:rFonts w:asciiTheme="minorHAnsi" w:eastAsiaTheme="majorEastAsia" w:hAnsiTheme="minorHAnsi"/>
        </w:rPr>
      </w:pPr>
      <w:r w:rsidRPr="002C1B9F">
        <w:rPr>
          <w:rFonts w:asciiTheme="minorHAnsi" w:eastAsiaTheme="majorEastAsia" w:hAnsiTheme="minorHAnsi"/>
        </w:rPr>
        <w:t>RTX Corporation (Raytheon)</w:t>
      </w:r>
      <w:r w:rsidR="16678CB5" w:rsidRPr="002C1B9F">
        <w:rPr>
          <w:rFonts w:asciiTheme="minorHAnsi" w:eastAsiaTheme="majorEastAsia" w:hAnsiTheme="minorHAnsi"/>
        </w:rPr>
        <w:t>,</w:t>
      </w:r>
      <w:r w:rsidR="16678CB5" w:rsidRPr="002C1B9F">
        <w:rPr>
          <w:rStyle w:val="relative"/>
          <w:rFonts w:asciiTheme="minorHAnsi" w:eastAsiaTheme="majorEastAsia" w:hAnsiTheme="minorHAnsi"/>
        </w:rPr>
        <w:t xml:space="preserve"> recipient of</w:t>
      </w:r>
      <w:r w:rsidR="003A1D2D" w:rsidRPr="002C1B9F">
        <w:rPr>
          <w:rStyle w:val="relative"/>
          <w:rFonts w:asciiTheme="minorHAnsi" w:eastAsiaTheme="majorEastAsia" w:hAnsiTheme="minorHAnsi"/>
        </w:rPr>
        <w:t xml:space="preserve"> $31 billion in federal contracts</w:t>
      </w:r>
      <w:r w:rsidR="6377771A" w:rsidRPr="002C1B9F">
        <w:rPr>
          <w:rStyle w:val="relative"/>
          <w:rFonts w:asciiTheme="minorHAnsi" w:eastAsiaTheme="majorEastAsia" w:hAnsiTheme="minorHAnsi"/>
        </w:rPr>
        <w:t>,</w:t>
      </w:r>
      <w:r w:rsidR="003A1D2D" w:rsidRPr="002C1B9F">
        <w:rPr>
          <w:rStyle w:val="relative"/>
          <w:rFonts w:asciiTheme="minorHAnsi" w:eastAsiaTheme="majorEastAsia" w:hAnsiTheme="minorHAnsi"/>
        </w:rPr>
        <w:t xml:space="preserve"> reportedly incorporates critical race theory into mandatory employee training programs</w:t>
      </w:r>
      <w:r w:rsidR="00585859" w:rsidRPr="002C1B9F">
        <w:rPr>
          <w:rStyle w:val="relative"/>
          <w:rFonts w:asciiTheme="minorHAnsi" w:eastAsiaTheme="majorEastAsia" w:hAnsiTheme="minorHAnsi"/>
        </w:rPr>
        <w:t xml:space="preserve"> and has </w:t>
      </w:r>
      <w:hyperlink r:id="rId12">
        <w:r w:rsidR="5EC5E35A" w:rsidRPr="002C1B9F">
          <w:rPr>
            <w:rStyle w:val="Hyperlink"/>
            <w:rFonts w:asciiTheme="minorHAnsi" w:eastAsiaTheme="majorEastAsia" w:hAnsiTheme="minorHAnsi"/>
          </w:rPr>
          <w:t>pledged</w:t>
        </w:r>
      </w:hyperlink>
      <w:r w:rsidR="00585859" w:rsidRPr="002C1B9F">
        <w:rPr>
          <w:rStyle w:val="relative"/>
          <w:rFonts w:asciiTheme="minorHAnsi" w:eastAsiaTheme="majorEastAsia" w:hAnsiTheme="minorHAnsi"/>
        </w:rPr>
        <w:t xml:space="preserve"> </w:t>
      </w:r>
      <w:r w:rsidR="00F4445E" w:rsidRPr="002C1B9F">
        <w:rPr>
          <w:rStyle w:val="relative"/>
          <w:rFonts w:asciiTheme="minorHAnsi" w:eastAsiaTheme="majorEastAsia" w:hAnsiTheme="minorHAnsi"/>
        </w:rPr>
        <w:t xml:space="preserve">to </w:t>
      </w:r>
      <w:r w:rsidR="00B42C8C" w:rsidRPr="002C1B9F">
        <w:rPr>
          <w:rStyle w:val="relative"/>
          <w:rFonts w:asciiTheme="minorHAnsi" w:eastAsiaTheme="majorEastAsia" w:hAnsiTheme="minorHAnsi"/>
        </w:rPr>
        <w:t>pursue race</w:t>
      </w:r>
      <w:r w:rsidR="1C42DDB8" w:rsidRPr="002C1B9F">
        <w:rPr>
          <w:rStyle w:val="relative"/>
          <w:rFonts w:asciiTheme="minorHAnsi" w:eastAsiaTheme="majorEastAsia" w:hAnsiTheme="minorHAnsi"/>
        </w:rPr>
        <w:t>-</w:t>
      </w:r>
      <w:r w:rsidR="00B42C8C" w:rsidRPr="002C1B9F">
        <w:rPr>
          <w:rStyle w:val="relative"/>
          <w:rFonts w:asciiTheme="minorHAnsi" w:eastAsiaTheme="majorEastAsia" w:hAnsiTheme="minorHAnsi"/>
        </w:rPr>
        <w:t xml:space="preserve"> and gender</w:t>
      </w:r>
      <w:r w:rsidR="7872B31E" w:rsidRPr="002C1B9F">
        <w:rPr>
          <w:rStyle w:val="relative"/>
          <w:rFonts w:asciiTheme="minorHAnsi" w:eastAsiaTheme="majorEastAsia" w:hAnsiTheme="minorHAnsi"/>
        </w:rPr>
        <w:t>-</w:t>
      </w:r>
      <w:r w:rsidR="00B42C8C" w:rsidRPr="002C1B9F">
        <w:rPr>
          <w:rStyle w:val="relative"/>
          <w:rFonts w:asciiTheme="minorHAnsi" w:eastAsiaTheme="majorEastAsia" w:hAnsiTheme="minorHAnsi"/>
        </w:rPr>
        <w:t xml:space="preserve">based targets for leadership positions. </w:t>
      </w:r>
      <w:r w:rsidR="4E512ACB" w:rsidRPr="002C1B9F">
        <w:rPr>
          <w:rStyle w:val="relative"/>
          <w:rFonts w:asciiTheme="minorHAnsi" w:eastAsiaTheme="majorEastAsia" w:hAnsiTheme="minorHAnsi"/>
        </w:rPr>
        <w:t xml:space="preserve"> </w:t>
      </w:r>
    </w:p>
    <w:p w14:paraId="3E6869F9" w14:textId="51D54C02" w:rsidR="003A1D2D" w:rsidRPr="002C1B9F" w:rsidRDefault="56B5D855" w:rsidP="29135BCC">
      <w:pPr>
        <w:pStyle w:val="NormalWeb"/>
        <w:numPr>
          <w:ilvl w:val="0"/>
          <w:numId w:val="4"/>
        </w:numPr>
        <w:rPr>
          <w:rStyle w:val="relative"/>
          <w:rFonts w:asciiTheme="minorHAnsi" w:hAnsiTheme="minorHAnsi"/>
        </w:rPr>
      </w:pPr>
      <w:hyperlink r:id="rId13">
        <w:r w:rsidRPr="002C1B9F">
          <w:rPr>
            <w:rStyle w:val="Hyperlink"/>
            <w:rFonts w:asciiTheme="minorHAnsi" w:eastAsiaTheme="majorEastAsia" w:hAnsiTheme="minorHAnsi"/>
          </w:rPr>
          <w:t>The Boeing Company</w:t>
        </w:r>
      </w:hyperlink>
      <w:r w:rsidR="003A1D2D" w:rsidRPr="002C1B9F">
        <w:rPr>
          <w:rStyle w:val="relative"/>
          <w:rFonts w:asciiTheme="minorHAnsi" w:eastAsiaTheme="majorEastAsia" w:hAnsiTheme="minorHAnsi"/>
        </w:rPr>
        <w:t xml:space="preserve"> has been awarded approximately $24 billion in federal contracts and mandates employee training on gender identity and sexual orientation.</w:t>
      </w:r>
      <w:r w:rsidR="58839B8A" w:rsidRPr="002C1B9F">
        <w:rPr>
          <w:rStyle w:val="relative"/>
          <w:rFonts w:asciiTheme="minorHAnsi" w:eastAsiaTheme="majorEastAsia" w:hAnsiTheme="minorHAnsi"/>
        </w:rPr>
        <w:t xml:space="preserve"> </w:t>
      </w:r>
      <w:r w:rsidR="003A1D2D" w:rsidRPr="002C1B9F">
        <w:rPr>
          <w:rFonts w:asciiTheme="minorHAnsi" w:eastAsiaTheme="majorEastAsia" w:hAnsiTheme="minorHAnsi"/>
        </w:rPr>
        <w:t xml:space="preserve">Between 2022 and 2025, </w:t>
      </w:r>
      <w:hyperlink r:id="rId14">
        <w:r w:rsidRPr="002C1B9F">
          <w:rPr>
            <w:rStyle w:val="Hyperlink"/>
            <w:rFonts w:asciiTheme="minorHAnsi" w:eastAsiaTheme="majorEastAsia" w:hAnsiTheme="minorHAnsi"/>
          </w:rPr>
          <w:t>Boeing</w:t>
        </w:r>
      </w:hyperlink>
      <w:r w:rsidR="003A1D2D" w:rsidRPr="002C1B9F">
        <w:rPr>
          <w:rFonts w:asciiTheme="minorHAnsi" w:eastAsiaTheme="majorEastAsia" w:hAnsiTheme="minorHAnsi"/>
        </w:rPr>
        <w:t>’s executive compensation plan devalued the weight of product and employee safety in its operational performance metrics, in order to include diversity, equity, and inclusion as a consideration.</w:t>
      </w:r>
    </w:p>
    <w:p w14:paraId="46B6555D" w14:textId="515D1848" w:rsidR="003A1D2D" w:rsidRPr="002C1B9F" w:rsidRDefault="56B5D855" w:rsidP="29135BCC">
      <w:pPr>
        <w:pStyle w:val="NormalWeb"/>
        <w:numPr>
          <w:ilvl w:val="0"/>
          <w:numId w:val="4"/>
        </w:numPr>
        <w:rPr>
          <w:rStyle w:val="relative"/>
          <w:rFonts w:asciiTheme="minorHAnsi" w:eastAsiaTheme="majorEastAsia" w:hAnsiTheme="minorHAnsi"/>
        </w:rPr>
      </w:pPr>
      <w:hyperlink r:id="rId15">
        <w:r w:rsidRPr="002C1B9F">
          <w:rPr>
            <w:rStyle w:val="Hyperlink"/>
            <w:rFonts w:asciiTheme="minorHAnsi" w:eastAsiaTheme="majorEastAsia" w:hAnsiTheme="minorHAnsi"/>
          </w:rPr>
          <w:t>Northrop Grumman Corporation</w:t>
        </w:r>
      </w:hyperlink>
      <w:r w:rsidR="003A1D2D" w:rsidRPr="002C1B9F">
        <w:rPr>
          <w:rStyle w:val="relative"/>
          <w:rFonts w:asciiTheme="minorHAnsi" w:eastAsiaTheme="majorEastAsia" w:hAnsiTheme="minorHAnsi"/>
        </w:rPr>
        <w:t xml:space="preserve"> has received over $19 billion in federal contracts while enforcing DEI policies that include diversity quotas in hiring and promotions.</w:t>
      </w:r>
    </w:p>
    <w:p w14:paraId="5BF5BDCE" w14:textId="77777777" w:rsidR="003A1D2D" w:rsidRPr="002C1B9F" w:rsidRDefault="56B5D855" w:rsidP="29135BCC">
      <w:pPr>
        <w:pStyle w:val="NormalWeb"/>
        <w:numPr>
          <w:ilvl w:val="0"/>
          <w:numId w:val="4"/>
        </w:numPr>
        <w:rPr>
          <w:rStyle w:val="relative"/>
          <w:rFonts w:asciiTheme="minorHAnsi" w:eastAsiaTheme="majorEastAsia" w:hAnsiTheme="minorHAnsi"/>
        </w:rPr>
      </w:pPr>
      <w:hyperlink r:id="rId16">
        <w:r w:rsidRPr="002C1B9F">
          <w:rPr>
            <w:rStyle w:val="Hyperlink"/>
            <w:rFonts w:asciiTheme="minorHAnsi" w:eastAsiaTheme="majorEastAsia" w:hAnsiTheme="minorHAnsi"/>
          </w:rPr>
          <w:t>General Dynamics Corp</w:t>
        </w:r>
      </w:hyperlink>
      <w:r w:rsidR="003A1D2D" w:rsidRPr="002C1B9F">
        <w:rPr>
          <w:rStyle w:val="relative"/>
          <w:rFonts w:asciiTheme="minorHAnsi" w:eastAsiaTheme="majorEastAsia" w:hAnsiTheme="minorHAnsi"/>
        </w:rPr>
        <w:t>, with federal contracts exceeding $26 billion, requires vendors to comply with specific DEI standards, potentially excluding those with traditional viewpoints.</w:t>
      </w:r>
    </w:p>
    <w:p w14:paraId="7D7F6CB0" w14:textId="77777777" w:rsidR="003A1D2D" w:rsidRPr="002C1B9F" w:rsidRDefault="56B5D855" w:rsidP="29135BCC">
      <w:pPr>
        <w:pStyle w:val="NormalWeb"/>
        <w:numPr>
          <w:ilvl w:val="0"/>
          <w:numId w:val="4"/>
        </w:numPr>
        <w:rPr>
          <w:rFonts w:asciiTheme="minorHAnsi" w:hAnsiTheme="minorHAnsi"/>
        </w:rPr>
      </w:pPr>
      <w:hyperlink r:id="rId17">
        <w:r w:rsidRPr="002C1B9F">
          <w:rPr>
            <w:rStyle w:val="Hyperlink"/>
            <w:rFonts w:asciiTheme="minorHAnsi" w:eastAsiaTheme="majorEastAsia" w:hAnsiTheme="minorHAnsi"/>
          </w:rPr>
          <w:t>Microsoft</w:t>
        </w:r>
      </w:hyperlink>
      <w:r w:rsidR="003A1D2D" w:rsidRPr="002C1B9F">
        <w:rPr>
          <w:rFonts w:asciiTheme="minorHAnsi" w:eastAsiaTheme="majorEastAsia" w:hAnsiTheme="minorHAnsi"/>
        </w:rPr>
        <w:t>’s Research PhD Fellowship restricted applicants based on race, limiting the number of White and Asian Applicants.</w:t>
      </w:r>
    </w:p>
    <w:p w14:paraId="1C798883" w14:textId="7607A126" w:rsidR="003A1D2D" w:rsidRPr="002C1B9F" w:rsidRDefault="003A1D2D" w:rsidP="29135BCC">
      <w:pPr>
        <w:pStyle w:val="NormalWeb"/>
        <w:numPr>
          <w:ilvl w:val="0"/>
          <w:numId w:val="4"/>
        </w:numPr>
        <w:rPr>
          <w:rFonts w:asciiTheme="minorHAnsi" w:eastAsiaTheme="majorEastAsia" w:hAnsiTheme="minorHAnsi"/>
        </w:rPr>
      </w:pPr>
      <w:r w:rsidRPr="002C1B9F">
        <w:rPr>
          <w:rStyle w:val="relative"/>
          <w:rFonts w:asciiTheme="minorHAnsi" w:eastAsiaTheme="majorEastAsia" w:hAnsiTheme="minorHAnsi"/>
        </w:rPr>
        <w:t xml:space="preserve">Several </w:t>
      </w:r>
      <w:proofErr w:type="gramStart"/>
      <w:r w:rsidRPr="002C1B9F">
        <w:rPr>
          <w:rStyle w:val="relative"/>
          <w:rFonts w:asciiTheme="minorHAnsi" w:eastAsiaTheme="majorEastAsia" w:hAnsiTheme="minorHAnsi"/>
        </w:rPr>
        <w:t>High Risk</w:t>
      </w:r>
      <w:proofErr w:type="gramEnd"/>
      <w:r w:rsidRPr="002C1B9F">
        <w:rPr>
          <w:rStyle w:val="relative"/>
          <w:rFonts w:asciiTheme="minorHAnsi" w:eastAsiaTheme="majorEastAsia" w:hAnsiTheme="minorHAnsi"/>
        </w:rPr>
        <w:t xml:space="preserve"> companies have pledged support to the CEO Action for Diversity &amp; Inclusion, </w:t>
      </w:r>
      <w:r w:rsidRPr="002C1B9F">
        <w:rPr>
          <w:rFonts w:asciiTheme="minorHAnsi" w:eastAsiaTheme="majorEastAsia" w:hAnsiTheme="minorHAnsi"/>
        </w:rPr>
        <w:t>which includes a commitment to promote DEI</w:t>
      </w:r>
      <w:r w:rsidR="004B27A3" w:rsidRPr="002C1B9F">
        <w:rPr>
          <w:rFonts w:asciiTheme="minorHAnsi" w:eastAsiaTheme="majorEastAsia" w:hAnsiTheme="minorHAnsi"/>
        </w:rPr>
        <w:t xml:space="preserve"> often through race-based recruiting and promotion.</w:t>
      </w:r>
    </w:p>
    <w:p w14:paraId="7D76C4B4" w14:textId="77777777" w:rsidR="003A1D2D" w:rsidRPr="002C1B9F" w:rsidRDefault="003A1D2D" w:rsidP="29135BCC">
      <w:pPr>
        <w:pStyle w:val="NormalWeb"/>
        <w:numPr>
          <w:ilvl w:val="0"/>
          <w:numId w:val="4"/>
        </w:numPr>
        <w:rPr>
          <w:rFonts w:asciiTheme="minorHAnsi" w:eastAsiaTheme="majorEastAsia" w:hAnsiTheme="minorHAnsi"/>
        </w:rPr>
      </w:pPr>
      <w:r w:rsidRPr="002C1B9F">
        <w:rPr>
          <w:rStyle w:val="relative"/>
          <w:rFonts w:asciiTheme="minorHAnsi" w:eastAsiaTheme="majorEastAsia" w:hAnsiTheme="minorHAnsi"/>
        </w:rPr>
        <w:t xml:space="preserve">Participation in the Corporate Equality Index is prevalent among </w:t>
      </w:r>
      <w:proofErr w:type="gramStart"/>
      <w:r w:rsidRPr="002C1B9F">
        <w:rPr>
          <w:rStyle w:val="relative"/>
          <w:rFonts w:asciiTheme="minorHAnsi" w:eastAsiaTheme="majorEastAsia" w:hAnsiTheme="minorHAnsi"/>
        </w:rPr>
        <w:t>High Risk</w:t>
      </w:r>
      <w:proofErr w:type="gramEnd"/>
      <w:r w:rsidRPr="002C1B9F">
        <w:rPr>
          <w:rStyle w:val="relative"/>
          <w:rFonts w:asciiTheme="minorHAnsi" w:eastAsiaTheme="majorEastAsia" w:hAnsiTheme="minorHAnsi"/>
        </w:rPr>
        <w:t xml:space="preserve"> contractors, which means they recruit </w:t>
      </w:r>
      <w:r w:rsidRPr="002C1B9F">
        <w:rPr>
          <w:rFonts w:asciiTheme="minorHAnsi" w:eastAsiaTheme="majorEastAsia" w:hAnsiTheme="minorHAnsi"/>
        </w:rPr>
        <w:t>employees based on sexual identity issues, allow biological males to use women’s facilities, and provide healthcare benefits that include controversial sex change procedures for employees and their children.</w:t>
      </w:r>
    </w:p>
    <w:p w14:paraId="5FEC95BC" w14:textId="77777777" w:rsidR="003A1D2D" w:rsidRDefault="003A1D2D"/>
    <w:sectPr w:rsidR="003A1D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F4D0D"/>
    <w:multiLevelType w:val="hybridMultilevel"/>
    <w:tmpl w:val="81EE2EBE"/>
    <w:lvl w:ilvl="0" w:tplc="B546D976">
      <w:start w:val="1"/>
      <w:numFmt w:val="bullet"/>
      <w:lvlText w:val=""/>
      <w:lvlJc w:val="left"/>
      <w:pPr>
        <w:ind w:left="720" w:hanging="360"/>
      </w:pPr>
      <w:rPr>
        <w:rFonts w:ascii="Symbol" w:hAnsi="Symbol" w:hint="default"/>
      </w:rPr>
    </w:lvl>
    <w:lvl w:ilvl="1" w:tplc="0542142C">
      <w:start w:val="1"/>
      <w:numFmt w:val="bullet"/>
      <w:lvlText w:val="o"/>
      <w:lvlJc w:val="left"/>
      <w:pPr>
        <w:ind w:left="1440" w:hanging="360"/>
      </w:pPr>
      <w:rPr>
        <w:rFonts w:ascii="Courier New" w:hAnsi="Courier New" w:hint="default"/>
      </w:rPr>
    </w:lvl>
    <w:lvl w:ilvl="2" w:tplc="43AE011E">
      <w:start w:val="1"/>
      <w:numFmt w:val="bullet"/>
      <w:lvlText w:val=""/>
      <w:lvlJc w:val="left"/>
      <w:pPr>
        <w:ind w:left="2160" w:hanging="360"/>
      </w:pPr>
      <w:rPr>
        <w:rFonts w:ascii="Wingdings" w:hAnsi="Wingdings" w:hint="default"/>
      </w:rPr>
    </w:lvl>
    <w:lvl w:ilvl="3" w:tplc="1470572C">
      <w:start w:val="1"/>
      <w:numFmt w:val="bullet"/>
      <w:lvlText w:val=""/>
      <w:lvlJc w:val="left"/>
      <w:pPr>
        <w:ind w:left="2880" w:hanging="360"/>
      </w:pPr>
      <w:rPr>
        <w:rFonts w:ascii="Symbol" w:hAnsi="Symbol" w:hint="default"/>
      </w:rPr>
    </w:lvl>
    <w:lvl w:ilvl="4" w:tplc="95AC84CE">
      <w:start w:val="1"/>
      <w:numFmt w:val="bullet"/>
      <w:lvlText w:val="o"/>
      <w:lvlJc w:val="left"/>
      <w:pPr>
        <w:ind w:left="3600" w:hanging="360"/>
      </w:pPr>
      <w:rPr>
        <w:rFonts w:ascii="Courier New" w:hAnsi="Courier New" w:hint="default"/>
      </w:rPr>
    </w:lvl>
    <w:lvl w:ilvl="5" w:tplc="32069030">
      <w:start w:val="1"/>
      <w:numFmt w:val="bullet"/>
      <w:lvlText w:val=""/>
      <w:lvlJc w:val="left"/>
      <w:pPr>
        <w:ind w:left="4320" w:hanging="360"/>
      </w:pPr>
      <w:rPr>
        <w:rFonts w:ascii="Wingdings" w:hAnsi="Wingdings" w:hint="default"/>
      </w:rPr>
    </w:lvl>
    <w:lvl w:ilvl="6" w:tplc="12E65F50">
      <w:start w:val="1"/>
      <w:numFmt w:val="bullet"/>
      <w:lvlText w:val=""/>
      <w:lvlJc w:val="left"/>
      <w:pPr>
        <w:ind w:left="5040" w:hanging="360"/>
      </w:pPr>
      <w:rPr>
        <w:rFonts w:ascii="Symbol" w:hAnsi="Symbol" w:hint="default"/>
      </w:rPr>
    </w:lvl>
    <w:lvl w:ilvl="7" w:tplc="FD9E3DE6">
      <w:start w:val="1"/>
      <w:numFmt w:val="bullet"/>
      <w:lvlText w:val="o"/>
      <w:lvlJc w:val="left"/>
      <w:pPr>
        <w:ind w:left="5760" w:hanging="360"/>
      </w:pPr>
      <w:rPr>
        <w:rFonts w:ascii="Courier New" w:hAnsi="Courier New" w:hint="default"/>
      </w:rPr>
    </w:lvl>
    <w:lvl w:ilvl="8" w:tplc="188883F8">
      <w:start w:val="1"/>
      <w:numFmt w:val="bullet"/>
      <w:lvlText w:val=""/>
      <w:lvlJc w:val="left"/>
      <w:pPr>
        <w:ind w:left="6480" w:hanging="360"/>
      </w:pPr>
      <w:rPr>
        <w:rFonts w:ascii="Wingdings" w:hAnsi="Wingdings" w:hint="default"/>
      </w:rPr>
    </w:lvl>
  </w:abstractNum>
  <w:abstractNum w:abstractNumId="1" w15:restartNumberingAfterBreak="0">
    <w:nsid w:val="36145AA3"/>
    <w:multiLevelType w:val="multilevel"/>
    <w:tmpl w:val="DD70C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09035E"/>
    <w:multiLevelType w:val="multilevel"/>
    <w:tmpl w:val="D448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CC3AAE"/>
    <w:multiLevelType w:val="multilevel"/>
    <w:tmpl w:val="BD981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3587064">
    <w:abstractNumId w:val="1"/>
  </w:num>
  <w:num w:numId="2" w16cid:durableId="1479228701">
    <w:abstractNumId w:val="2"/>
  </w:num>
  <w:num w:numId="3" w16cid:durableId="2022392140">
    <w:abstractNumId w:val="3"/>
  </w:num>
  <w:num w:numId="4" w16cid:durableId="1374697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D2D"/>
    <w:rsid w:val="000B525A"/>
    <w:rsid w:val="00285073"/>
    <w:rsid w:val="002C1B9F"/>
    <w:rsid w:val="002ED228"/>
    <w:rsid w:val="0037009C"/>
    <w:rsid w:val="00390E5A"/>
    <w:rsid w:val="003A1D2D"/>
    <w:rsid w:val="003B6C4F"/>
    <w:rsid w:val="00464850"/>
    <w:rsid w:val="004B27A3"/>
    <w:rsid w:val="005708D1"/>
    <w:rsid w:val="00585859"/>
    <w:rsid w:val="005E3473"/>
    <w:rsid w:val="009134F1"/>
    <w:rsid w:val="00947AC4"/>
    <w:rsid w:val="00AA2C35"/>
    <w:rsid w:val="00B407B6"/>
    <w:rsid w:val="00B42C8C"/>
    <w:rsid w:val="00B6099A"/>
    <w:rsid w:val="00B93E5F"/>
    <w:rsid w:val="00E7577F"/>
    <w:rsid w:val="00F4445E"/>
    <w:rsid w:val="00F54CE4"/>
    <w:rsid w:val="0200C385"/>
    <w:rsid w:val="05553894"/>
    <w:rsid w:val="06190C69"/>
    <w:rsid w:val="087415D1"/>
    <w:rsid w:val="12EADF7C"/>
    <w:rsid w:val="15B5972F"/>
    <w:rsid w:val="16678CB5"/>
    <w:rsid w:val="16F1A5FE"/>
    <w:rsid w:val="19FAF29B"/>
    <w:rsid w:val="1B198C6F"/>
    <w:rsid w:val="1C382422"/>
    <w:rsid w:val="1C42DDB8"/>
    <w:rsid w:val="22F62CCE"/>
    <w:rsid w:val="24478BE9"/>
    <w:rsid w:val="29135BCC"/>
    <w:rsid w:val="3878BAEC"/>
    <w:rsid w:val="3A481BAD"/>
    <w:rsid w:val="3C11E308"/>
    <w:rsid w:val="44B8561B"/>
    <w:rsid w:val="456800F8"/>
    <w:rsid w:val="464416A5"/>
    <w:rsid w:val="4947FB94"/>
    <w:rsid w:val="4E512ACB"/>
    <w:rsid w:val="53B6E821"/>
    <w:rsid w:val="56B5D855"/>
    <w:rsid w:val="58839B8A"/>
    <w:rsid w:val="5AC95561"/>
    <w:rsid w:val="5B39A5B0"/>
    <w:rsid w:val="5E614F6D"/>
    <w:rsid w:val="5EC5E35A"/>
    <w:rsid w:val="60371D17"/>
    <w:rsid w:val="622A4F64"/>
    <w:rsid w:val="628BDA83"/>
    <w:rsid w:val="6377771A"/>
    <w:rsid w:val="650CBB95"/>
    <w:rsid w:val="662495B4"/>
    <w:rsid w:val="6649D937"/>
    <w:rsid w:val="6746D3EA"/>
    <w:rsid w:val="6C922C51"/>
    <w:rsid w:val="6D36CFEE"/>
    <w:rsid w:val="6D48B67E"/>
    <w:rsid w:val="6E280718"/>
    <w:rsid w:val="6E40696D"/>
    <w:rsid w:val="708299DE"/>
    <w:rsid w:val="718168F5"/>
    <w:rsid w:val="784921C6"/>
    <w:rsid w:val="7872B31E"/>
    <w:rsid w:val="7C754FD4"/>
    <w:rsid w:val="7EE451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61B0316"/>
  <w15:chartTrackingRefBased/>
  <w15:docId w15:val="{66AF6B06-E109-4729-BAF9-A95F8B89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1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1D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1D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1D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1D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D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D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D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D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1D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1D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1D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1D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1D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D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D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D2D"/>
    <w:rPr>
      <w:rFonts w:eastAsiaTheme="majorEastAsia" w:cstheme="majorBidi"/>
      <w:color w:val="272727" w:themeColor="text1" w:themeTint="D8"/>
    </w:rPr>
  </w:style>
  <w:style w:type="paragraph" w:styleId="Title">
    <w:name w:val="Title"/>
    <w:basedOn w:val="Normal"/>
    <w:next w:val="Normal"/>
    <w:link w:val="TitleChar"/>
    <w:uiPriority w:val="10"/>
    <w:qFormat/>
    <w:rsid w:val="003A1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D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D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D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D2D"/>
    <w:pPr>
      <w:spacing w:before="160"/>
      <w:jc w:val="center"/>
    </w:pPr>
    <w:rPr>
      <w:i/>
      <w:iCs/>
      <w:color w:val="404040" w:themeColor="text1" w:themeTint="BF"/>
    </w:rPr>
  </w:style>
  <w:style w:type="character" w:customStyle="1" w:styleId="QuoteChar">
    <w:name w:val="Quote Char"/>
    <w:basedOn w:val="DefaultParagraphFont"/>
    <w:link w:val="Quote"/>
    <w:uiPriority w:val="29"/>
    <w:rsid w:val="003A1D2D"/>
    <w:rPr>
      <w:i/>
      <w:iCs/>
      <w:color w:val="404040" w:themeColor="text1" w:themeTint="BF"/>
    </w:rPr>
  </w:style>
  <w:style w:type="paragraph" w:styleId="ListParagraph">
    <w:name w:val="List Paragraph"/>
    <w:basedOn w:val="Normal"/>
    <w:uiPriority w:val="34"/>
    <w:qFormat/>
    <w:rsid w:val="003A1D2D"/>
    <w:pPr>
      <w:ind w:left="720"/>
      <w:contextualSpacing/>
    </w:pPr>
  </w:style>
  <w:style w:type="character" w:styleId="IntenseEmphasis">
    <w:name w:val="Intense Emphasis"/>
    <w:basedOn w:val="DefaultParagraphFont"/>
    <w:uiPriority w:val="21"/>
    <w:qFormat/>
    <w:rsid w:val="003A1D2D"/>
    <w:rPr>
      <w:i/>
      <w:iCs/>
      <w:color w:val="0F4761" w:themeColor="accent1" w:themeShade="BF"/>
    </w:rPr>
  </w:style>
  <w:style w:type="paragraph" w:styleId="IntenseQuote">
    <w:name w:val="Intense Quote"/>
    <w:basedOn w:val="Normal"/>
    <w:next w:val="Normal"/>
    <w:link w:val="IntenseQuoteChar"/>
    <w:uiPriority w:val="30"/>
    <w:qFormat/>
    <w:rsid w:val="003A1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1D2D"/>
    <w:rPr>
      <w:i/>
      <w:iCs/>
      <w:color w:val="0F4761" w:themeColor="accent1" w:themeShade="BF"/>
    </w:rPr>
  </w:style>
  <w:style w:type="character" w:styleId="IntenseReference">
    <w:name w:val="Intense Reference"/>
    <w:basedOn w:val="DefaultParagraphFont"/>
    <w:uiPriority w:val="32"/>
    <w:qFormat/>
    <w:rsid w:val="003A1D2D"/>
    <w:rPr>
      <w:b/>
      <w:bCs/>
      <w:smallCaps/>
      <w:color w:val="0F4761" w:themeColor="accent1" w:themeShade="BF"/>
      <w:spacing w:val="5"/>
    </w:rPr>
  </w:style>
  <w:style w:type="paragraph" w:styleId="NormalWeb">
    <w:name w:val="Normal (Web)"/>
    <w:basedOn w:val="Normal"/>
    <w:uiPriority w:val="99"/>
    <w:unhideWhenUsed/>
    <w:rsid w:val="003A1D2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A1D2D"/>
    <w:rPr>
      <w:b/>
      <w:bCs/>
    </w:rPr>
  </w:style>
  <w:style w:type="character" w:customStyle="1" w:styleId="relative">
    <w:name w:val="relative"/>
    <w:basedOn w:val="DefaultParagraphFont"/>
    <w:rsid w:val="003A1D2D"/>
  </w:style>
  <w:style w:type="character" w:styleId="Hyperlink">
    <w:name w:val="Hyperlink"/>
    <w:basedOn w:val="DefaultParagraphFont"/>
    <w:uiPriority w:val="99"/>
    <w:unhideWhenUsed/>
    <w:rsid w:val="003A1D2D"/>
    <w:rPr>
      <w:color w:val="467886" w:themeColor="hyperlink"/>
      <w:u w:val="single"/>
    </w:rPr>
  </w:style>
  <w:style w:type="character" w:styleId="UnresolvedMention">
    <w:name w:val="Unresolved Mention"/>
    <w:basedOn w:val="DefaultParagraphFont"/>
    <w:uiPriority w:val="99"/>
    <w:semiHidden/>
    <w:unhideWhenUsed/>
    <w:rsid w:val="003A1D2D"/>
    <w:rPr>
      <w:color w:val="605E5C"/>
      <w:shd w:val="clear" w:color="auto" w:fill="E1DFDD"/>
    </w:rPr>
  </w:style>
  <w:style w:type="character" w:styleId="FollowedHyperlink">
    <w:name w:val="FollowedHyperlink"/>
    <w:basedOn w:val="DefaultParagraphFont"/>
    <w:uiPriority w:val="99"/>
    <w:semiHidden/>
    <w:unhideWhenUsed/>
    <w:rsid w:val="00390E5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itehouse.gov/presidential-actions/2025/01/defending-women-from-gender-ideology-extremism-and-restoring-biological-truth-to-the-federal-government/" TargetMode="External"/><Relationship Id="rId13" Type="http://schemas.openxmlformats.org/officeDocument/2006/relationships/hyperlink" Target="https://1792exchange.com/company/boei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1792exchange.com/spotlight-reports/corporate-bias-ratings/grading-criteria/" TargetMode="External"/><Relationship Id="rId12" Type="http://schemas.openxmlformats.org/officeDocument/2006/relationships/hyperlink" Target="https://web.archive.org/web/20240719145959/https:/www.catalyst.org/champions/ceo-champions/" TargetMode="External"/><Relationship Id="rId17" Type="http://schemas.openxmlformats.org/officeDocument/2006/relationships/hyperlink" Target="https://1792exchange.com/company/microsoft/" TargetMode="External"/><Relationship Id="rId2" Type="http://schemas.openxmlformats.org/officeDocument/2006/relationships/styles" Target="styles.xml"/><Relationship Id="rId16" Type="http://schemas.openxmlformats.org/officeDocument/2006/relationships/hyperlink" Target="https://1792exchange.com/company/general-dynamics/" TargetMode="External"/><Relationship Id="rId1" Type="http://schemas.openxmlformats.org/officeDocument/2006/relationships/numbering" Target="numbering.xml"/><Relationship Id="rId6" Type="http://schemas.openxmlformats.org/officeDocument/2006/relationships/hyperlink" Target="https://sam.gov/reports/awards/static;Report=" TargetMode="External"/><Relationship Id="rId11" Type="http://schemas.openxmlformats.org/officeDocument/2006/relationships/hyperlink" Target="https://www.cotton.senate.gov/imo/media/doc/lockheed_letter.pdf" TargetMode="External"/><Relationship Id="rId5" Type="http://schemas.openxmlformats.org/officeDocument/2006/relationships/hyperlink" Target="https://1792exchange.com/contractors/" TargetMode="External"/><Relationship Id="rId15" Type="http://schemas.openxmlformats.org/officeDocument/2006/relationships/hyperlink" Target="https://1792exchange.com/company/northop-grumman/" TargetMode="External"/><Relationship Id="rId10" Type="http://schemas.openxmlformats.org/officeDocument/2006/relationships/hyperlink" Target="https://1792exchange.com/company/lockheed-marti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hitehouse.gov/presidential-actions/2025/01/ending-illegal-discrimination-and-restoring-merit-based-opportunity/" TargetMode="External"/><Relationship Id="rId14" Type="http://schemas.openxmlformats.org/officeDocument/2006/relationships/hyperlink" Target="https://nypost.com/2024/01/11/business/elon-musk-rips-boeing-they-prioritized-dei-over-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902</Words>
  <Characters>5148</Characters>
  <Application>Microsoft Office Word</Application>
  <DocSecurity>0</DocSecurity>
  <Lines>42</Lines>
  <Paragraphs>12</Paragraphs>
  <ScaleCrop>false</ScaleCrop>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Moshtahedian</dc:creator>
  <cp:keywords/>
  <dc:description/>
  <cp:lastModifiedBy>Erica Moshtahedian</cp:lastModifiedBy>
  <cp:revision>19</cp:revision>
  <dcterms:created xsi:type="dcterms:W3CDTF">2025-05-30T20:49:00Z</dcterms:created>
  <dcterms:modified xsi:type="dcterms:W3CDTF">2025-06-03T15:51:00Z</dcterms:modified>
</cp:coreProperties>
</file>